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73" w:rsidRPr="00F86545" w:rsidRDefault="00DD732E" w:rsidP="00C836BC">
      <w:pPr>
        <w:pStyle w:val="Title"/>
        <w:spacing w:before="3000"/>
        <w:rPr>
          <w:color w:val="auto"/>
        </w:rPr>
      </w:pPr>
      <w:r w:rsidRPr="00F86545">
        <w:rPr>
          <w:i/>
          <w:color w:val="auto"/>
        </w:rPr>
        <w:t>Saluting Their Service</w:t>
      </w:r>
      <w:r w:rsidRPr="00F86545">
        <w:rPr>
          <w:color w:val="auto"/>
        </w:rPr>
        <w:t xml:space="preserve"> Commemorations</w:t>
      </w:r>
      <w:r w:rsidR="00CF6954">
        <w:rPr>
          <w:color w:val="auto"/>
        </w:rPr>
        <w:t xml:space="preserve"> </w:t>
      </w:r>
      <w:r w:rsidRPr="00F86545">
        <w:rPr>
          <w:color w:val="auto"/>
        </w:rPr>
        <w:t xml:space="preserve">Program </w:t>
      </w:r>
    </w:p>
    <w:p w:rsidR="00794773" w:rsidRPr="00F86545" w:rsidRDefault="00934C23" w:rsidP="00C836BC">
      <w:pPr>
        <w:pStyle w:val="Title"/>
        <w:rPr>
          <w:color w:val="auto"/>
        </w:rPr>
      </w:pPr>
      <w:r>
        <w:rPr>
          <w:color w:val="auto"/>
        </w:rPr>
        <w:t>Major</w:t>
      </w:r>
      <w:r w:rsidR="00DD732E" w:rsidRPr="00F86545">
        <w:rPr>
          <w:color w:val="auto"/>
        </w:rPr>
        <w:t xml:space="preserve"> Commemorative Grants </w:t>
      </w:r>
    </w:p>
    <w:p w:rsidR="00794773" w:rsidRPr="00C836BC" w:rsidRDefault="00205006" w:rsidP="00C836BC">
      <w:pPr>
        <w:pStyle w:val="Title"/>
      </w:pPr>
      <w:r>
        <w:t xml:space="preserve">Opportunity </w:t>
      </w:r>
      <w:r w:rsidR="00794773"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404"/>
      </w:tblGrid>
      <w:tr w:rsidR="00794773" w:rsidRPr="007040EB" w:rsidTr="00CA51D7">
        <w:trPr>
          <w:tblHeader/>
        </w:trPr>
        <w:tc>
          <w:tcPr>
            <w:tcW w:w="2977" w:type="dxa"/>
          </w:tcPr>
          <w:p w:rsidR="00794773" w:rsidRPr="00024E94" w:rsidRDefault="00794773" w:rsidP="00694DF9">
            <w:pPr>
              <w:spacing w:line="240" w:lineRule="auto"/>
              <w:jc w:val="both"/>
            </w:pPr>
            <w:r w:rsidRPr="00024E94">
              <w:t>Opening date:</w:t>
            </w:r>
          </w:p>
        </w:tc>
        <w:tc>
          <w:tcPr>
            <w:tcW w:w="6404" w:type="dxa"/>
            <w:shd w:val="clear" w:color="auto" w:fill="auto"/>
          </w:tcPr>
          <w:p w:rsidR="00794773" w:rsidRPr="00024E94" w:rsidRDefault="00D15915" w:rsidP="00D15915">
            <w:pPr>
              <w:pStyle w:val="inputcomment"/>
              <w:rPr>
                <w:color w:val="auto"/>
              </w:rPr>
            </w:pPr>
            <w:r>
              <w:rPr>
                <w:color w:val="auto"/>
              </w:rPr>
              <w:t>6 November 2018</w:t>
            </w:r>
          </w:p>
        </w:tc>
      </w:tr>
      <w:tr w:rsidR="00794773" w:rsidRPr="007040EB" w:rsidTr="002C7BB1">
        <w:tc>
          <w:tcPr>
            <w:tcW w:w="2977" w:type="dxa"/>
          </w:tcPr>
          <w:p w:rsidR="00794773" w:rsidRPr="00024E94" w:rsidRDefault="00794773" w:rsidP="00694DF9">
            <w:pPr>
              <w:spacing w:line="240" w:lineRule="auto"/>
              <w:jc w:val="both"/>
            </w:pPr>
            <w:r w:rsidRPr="00024E94">
              <w:t>Closing date and time:</w:t>
            </w:r>
          </w:p>
        </w:tc>
        <w:tc>
          <w:tcPr>
            <w:tcW w:w="6404" w:type="dxa"/>
            <w:shd w:val="clear" w:color="auto" w:fill="auto"/>
          </w:tcPr>
          <w:p w:rsidR="00794773" w:rsidRPr="00024E94" w:rsidRDefault="009445C4" w:rsidP="0004306B">
            <w:pPr>
              <w:pStyle w:val="inputcomment"/>
              <w:rPr>
                <w:color w:val="auto"/>
              </w:rPr>
            </w:pPr>
            <w:r w:rsidRPr="00024E94">
              <w:rPr>
                <w:color w:val="auto"/>
              </w:rPr>
              <w:t>2.00 pm AE</w:t>
            </w:r>
            <w:r w:rsidR="00261E67">
              <w:rPr>
                <w:color w:val="auto"/>
              </w:rPr>
              <w:t>D</w:t>
            </w:r>
            <w:r w:rsidRPr="00024E94">
              <w:rPr>
                <w:color w:val="auto"/>
              </w:rPr>
              <w:t xml:space="preserve">T </w:t>
            </w:r>
            <w:r w:rsidR="00D15915">
              <w:rPr>
                <w:color w:val="auto"/>
              </w:rPr>
              <w:t>1</w:t>
            </w:r>
            <w:r w:rsidR="0004306B">
              <w:rPr>
                <w:color w:val="auto"/>
              </w:rPr>
              <w:t>0</w:t>
            </w:r>
            <w:r w:rsidR="00D15915">
              <w:rPr>
                <w:color w:val="auto"/>
              </w:rPr>
              <w:t xml:space="preserve"> J</w:t>
            </w:r>
            <w:r w:rsidR="0004306B">
              <w:rPr>
                <w:color w:val="auto"/>
              </w:rPr>
              <w:t>anuary</w:t>
            </w:r>
            <w:r w:rsidR="00D15915">
              <w:rPr>
                <w:color w:val="auto"/>
              </w:rPr>
              <w:t xml:space="preserve"> 2019</w:t>
            </w:r>
            <w:r w:rsidRPr="00024E94">
              <w:rPr>
                <w:color w:val="auto"/>
              </w:rPr>
              <w:t xml:space="preserve"> </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2C7BB1" w:rsidRDefault="00DD732E" w:rsidP="00694DF9">
            <w:pPr>
              <w:spacing w:line="240" w:lineRule="auto"/>
            </w:pPr>
            <w:r w:rsidRPr="00F86545">
              <w:rPr>
                <w:b/>
              </w:rPr>
              <w:t>Department of Veterans’ Affairs</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794773" w:rsidRDefault="00794773" w:rsidP="00F8526F">
            <w:pPr>
              <w:spacing w:line="240" w:lineRule="auto"/>
            </w:pPr>
            <w:r w:rsidRPr="002C7BB1">
              <w:t>If you hav</w:t>
            </w:r>
            <w:r w:rsidR="00F8526F">
              <w:t>e any questions, please contact:</w:t>
            </w:r>
          </w:p>
          <w:p w:rsidR="00F8526F" w:rsidRPr="00310249" w:rsidRDefault="00F8526F" w:rsidP="00F8526F">
            <w:pPr>
              <w:spacing w:line="240" w:lineRule="auto"/>
            </w:pPr>
            <w:r w:rsidRPr="00310249">
              <w:t>Phone: 1800 020 283</w:t>
            </w:r>
          </w:p>
          <w:p w:rsidR="00F8526F" w:rsidRPr="002C7BB1" w:rsidRDefault="00F8526F" w:rsidP="00F8526F">
            <w:pPr>
              <w:spacing w:line="240" w:lineRule="auto"/>
            </w:pPr>
            <w:r w:rsidRPr="00310249">
              <w:t xml:space="preserve">Email: </w:t>
            </w:r>
            <w:hyperlink r:id="rId11" w:history="1">
              <w:r w:rsidRPr="00740F1F">
                <w:rPr>
                  <w:rStyle w:val="Hyperlink"/>
                  <w:rFonts w:cstheme="minorBidi"/>
                </w:rPr>
                <w:t>support@communitygrants.gov.au</w:t>
              </w:r>
            </w:hyperlink>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2C7BB1" w:rsidRDefault="00D15915" w:rsidP="00D15915">
            <w:pPr>
              <w:spacing w:line="240" w:lineRule="auto"/>
            </w:pPr>
            <w:r>
              <w:rPr>
                <w:b/>
              </w:rPr>
              <w:t xml:space="preserve">6 November </w:t>
            </w:r>
            <w:r w:rsidR="00024E94">
              <w:rPr>
                <w:b/>
              </w:rPr>
              <w:t>2018</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794773" w:rsidRPr="002C7BB1" w:rsidRDefault="002F4411" w:rsidP="006539C9">
            <w:pPr>
              <w:spacing w:line="240" w:lineRule="auto"/>
            </w:pPr>
            <w:r w:rsidRPr="00BF5ECC">
              <w:rPr>
                <w:b/>
              </w:rPr>
              <w:t>Open</w:t>
            </w:r>
            <w:r w:rsidR="00934C23" w:rsidRPr="00BF5ECC">
              <w:rPr>
                <w:b/>
              </w:rPr>
              <w:t xml:space="preserve"> </w:t>
            </w:r>
            <w:r w:rsidR="00794773" w:rsidRPr="00BF5ECC">
              <w:rPr>
                <w:b/>
              </w:rPr>
              <w:t>competitive</w:t>
            </w:r>
          </w:p>
        </w:tc>
      </w:tr>
    </w:tbl>
    <w:p w:rsidR="003142DD" w:rsidRDefault="003142DD" w:rsidP="005E0682">
      <w:r>
        <w:br w:type="page"/>
      </w:r>
    </w:p>
    <w:p w:rsidR="0020122A" w:rsidRDefault="0020122A" w:rsidP="0020122A">
      <w:pPr>
        <w:pStyle w:val="TOCHeading"/>
      </w:pPr>
      <w:r>
        <w:lastRenderedPageBreak/>
        <w:t>Contents</w:t>
      </w:r>
    </w:p>
    <w:p w:rsidR="005052E8" w:rsidRDefault="0064088A">
      <w:pPr>
        <w:pStyle w:val="TOC1"/>
        <w:rPr>
          <w:rFonts w:eastAsiaTheme="minorEastAsia"/>
          <w:b w:val="0"/>
          <w:noProof/>
          <w:sz w:val="22"/>
          <w:lang w:eastAsia="en-AU"/>
        </w:rPr>
      </w:pPr>
      <w:r w:rsidRPr="0064088A">
        <w:rPr>
          <w:sz w:val="19"/>
        </w:rPr>
        <w:fldChar w:fldCharType="begin"/>
      </w:r>
      <w:r w:rsidR="0020122A">
        <w:instrText xml:space="preserve"> TOC \o "2-3" \h \z \t "Heading 1,1,Heading 1 Numbered,1" </w:instrText>
      </w:r>
      <w:r w:rsidRPr="0064088A">
        <w:rPr>
          <w:sz w:val="19"/>
        </w:rPr>
        <w:fldChar w:fldCharType="separate"/>
      </w:r>
      <w:hyperlink w:anchor="_Toc528913493" w:history="1">
        <w:r w:rsidR="005052E8" w:rsidRPr="004C6FAD">
          <w:rPr>
            <w:rStyle w:val="Hyperlink"/>
            <w:noProof/>
          </w:rPr>
          <w:t>1.</w:t>
        </w:r>
        <w:r w:rsidR="005052E8">
          <w:rPr>
            <w:rFonts w:eastAsiaTheme="minorEastAsia"/>
            <w:b w:val="0"/>
            <w:noProof/>
            <w:sz w:val="22"/>
            <w:lang w:eastAsia="en-AU"/>
          </w:rPr>
          <w:tab/>
        </w:r>
        <w:r w:rsidR="005052E8" w:rsidRPr="004C6FAD">
          <w:rPr>
            <w:rStyle w:val="Hyperlink"/>
            <w:i/>
            <w:noProof/>
          </w:rPr>
          <w:t>Saluting Their Service</w:t>
        </w:r>
        <w:r w:rsidR="005052E8" w:rsidRPr="004C6FAD">
          <w:rPr>
            <w:rStyle w:val="Hyperlink"/>
            <w:noProof/>
          </w:rPr>
          <w:t xml:space="preserve"> Commemorations Program: Major Commemorative Grants Opportunity Processes</w:t>
        </w:r>
        <w:r w:rsidR="005052E8">
          <w:rPr>
            <w:noProof/>
            <w:webHidden/>
          </w:rPr>
          <w:tab/>
        </w:r>
        <w:r>
          <w:rPr>
            <w:noProof/>
            <w:webHidden/>
          </w:rPr>
          <w:fldChar w:fldCharType="begin"/>
        </w:r>
        <w:r w:rsidR="005052E8">
          <w:rPr>
            <w:noProof/>
            <w:webHidden/>
          </w:rPr>
          <w:instrText xml:space="preserve"> PAGEREF _Toc528913493 \h </w:instrText>
        </w:r>
        <w:r>
          <w:rPr>
            <w:noProof/>
            <w:webHidden/>
          </w:rPr>
        </w:r>
        <w:r>
          <w:rPr>
            <w:noProof/>
            <w:webHidden/>
          </w:rPr>
          <w:fldChar w:fldCharType="separate"/>
        </w:r>
        <w:r w:rsidR="005052E8">
          <w:rPr>
            <w:noProof/>
            <w:webHidden/>
          </w:rPr>
          <w:t>4</w:t>
        </w:r>
        <w:r>
          <w:rPr>
            <w:noProof/>
            <w:webHidden/>
          </w:rPr>
          <w:fldChar w:fldCharType="end"/>
        </w:r>
      </w:hyperlink>
    </w:p>
    <w:p w:rsidR="005052E8" w:rsidRDefault="0064088A">
      <w:pPr>
        <w:pStyle w:val="TOC2"/>
        <w:rPr>
          <w:rFonts w:eastAsiaTheme="minorEastAsia"/>
          <w:noProof/>
          <w:lang w:eastAsia="en-AU"/>
        </w:rPr>
      </w:pPr>
      <w:hyperlink w:anchor="_Toc528913494" w:history="1">
        <w:r w:rsidR="005052E8" w:rsidRPr="004C6FAD">
          <w:rPr>
            <w:rStyle w:val="Hyperlink"/>
            <w:noProof/>
          </w:rPr>
          <w:t>1.1</w:t>
        </w:r>
        <w:r w:rsidR="005052E8">
          <w:rPr>
            <w:rFonts w:eastAsiaTheme="minorEastAsia"/>
            <w:noProof/>
            <w:lang w:eastAsia="en-AU"/>
          </w:rPr>
          <w:tab/>
        </w:r>
        <w:r w:rsidR="005052E8" w:rsidRPr="004C6FAD">
          <w:rPr>
            <w:rStyle w:val="Hyperlink"/>
            <w:noProof/>
          </w:rPr>
          <w:t>Role of the Community Grants Hub</w:t>
        </w:r>
        <w:r w:rsidR="005052E8">
          <w:rPr>
            <w:noProof/>
            <w:webHidden/>
          </w:rPr>
          <w:tab/>
        </w:r>
        <w:r>
          <w:rPr>
            <w:noProof/>
            <w:webHidden/>
          </w:rPr>
          <w:fldChar w:fldCharType="begin"/>
        </w:r>
        <w:r w:rsidR="005052E8">
          <w:rPr>
            <w:noProof/>
            <w:webHidden/>
          </w:rPr>
          <w:instrText xml:space="preserve"> PAGEREF _Toc528913494 \h </w:instrText>
        </w:r>
        <w:r>
          <w:rPr>
            <w:noProof/>
            <w:webHidden/>
          </w:rPr>
        </w:r>
        <w:r>
          <w:rPr>
            <w:noProof/>
            <w:webHidden/>
          </w:rPr>
          <w:fldChar w:fldCharType="separate"/>
        </w:r>
        <w:r w:rsidR="005052E8">
          <w:rPr>
            <w:noProof/>
            <w:webHidden/>
          </w:rPr>
          <w:t>5</w:t>
        </w:r>
        <w:r>
          <w:rPr>
            <w:noProof/>
            <w:webHidden/>
          </w:rPr>
          <w:fldChar w:fldCharType="end"/>
        </w:r>
      </w:hyperlink>
    </w:p>
    <w:p w:rsidR="005052E8" w:rsidRDefault="0064088A">
      <w:pPr>
        <w:pStyle w:val="TOC2"/>
        <w:rPr>
          <w:rFonts w:eastAsiaTheme="minorEastAsia"/>
          <w:noProof/>
          <w:lang w:eastAsia="en-AU"/>
        </w:rPr>
      </w:pPr>
      <w:hyperlink w:anchor="_Toc528913495" w:history="1">
        <w:r w:rsidR="005052E8" w:rsidRPr="004C6FAD">
          <w:rPr>
            <w:rStyle w:val="Hyperlink"/>
            <w:noProof/>
          </w:rPr>
          <w:t>1.2</w:t>
        </w:r>
        <w:r w:rsidR="005052E8">
          <w:rPr>
            <w:rFonts w:eastAsiaTheme="minorEastAsia"/>
            <w:noProof/>
            <w:lang w:eastAsia="en-AU"/>
          </w:rPr>
          <w:tab/>
        </w:r>
        <w:r w:rsidR="005052E8" w:rsidRPr="004C6FAD">
          <w:rPr>
            <w:rStyle w:val="Hyperlink"/>
            <w:noProof/>
          </w:rPr>
          <w:t>About the grant program</w:t>
        </w:r>
        <w:r w:rsidR="005052E8">
          <w:rPr>
            <w:noProof/>
            <w:webHidden/>
          </w:rPr>
          <w:tab/>
        </w:r>
        <w:r>
          <w:rPr>
            <w:noProof/>
            <w:webHidden/>
          </w:rPr>
          <w:fldChar w:fldCharType="begin"/>
        </w:r>
        <w:r w:rsidR="005052E8">
          <w:rPr>
            <w:noProof/>
            <w:webHidden/>
          </w:rPr>
          <w:instrText xml:space="preserve"> PAGEREF _Toc528913495 \h </w:instrText>
        </w:r>
        <w:r>
          <w:rPr>
            <w:noProof/>
            <w:webHidden/>
          </w:rPr>
        </w:r>
        <w:r>
          <w:rPr>
            <w:noProof/>
            <w:webHidden/>
          </w:rPr>
          <w:fldChar w:fldCharType="separate"/>
        </w:r>
        <w:r w:rsidR="005052E8">
          <w:rPr>
            <w:noProof/>
            <w:webHidden/>
          </w:rPr>
          <w:t>5</w:t>
        </w:r>
        <w:r>
          <w:rPr>
            <w:noProof/>
            <w:webHidden/>
          </w:rPr>
          <w:fldChar w:fldCharType="end"/>
        </w:r>
      </w:hyperlink>
    </w:p>
    <w:p w:rsidR="005052E8" w:rsidRDefault="0064088A">
      <w:pPr>
        <w:pStyle w:val="TOC2"/>
        <w:rPr>
          <w:rFonts w:eastAsiaTheme="minorEastAsia"/>
          <w:noProof/>
          <w:lang w:eastAsia="en-AU"/>
        </w:rPr>
      </w:pPr>
      <w:hyperlink w:anchor="_Toc528913496" w:history="1">
        <w:r w:rsidR="005052E8" w:rsidRPr="004C6FAD">
          <w:rPr>
            <w:rStyle w:val="Hyperlink"/>
            <w:noProof/>
          </w:rPr>
          <w:t>1.3</w:t>
        </w:r>
        <w:r w:rsidR="005052E8">
          <w:rPr>
            <w:rFonts w:eastAsiaTheme="minorEastAsia"/>
            <w:noProof/>
            <w:lang w:eastAsia="en-AU"/>
          </w:rPr>
          <w:tab/>
        </w:r>
        <w:r w:rsidR="005052E8" w:rsidRPr="004C6FAD">
          <w:rPr>
            <w:rStyle w:val="Hyperlink"/>
            <w:noProof/>
          </w:rPr>
          <w:t>About the Grant Opportunity</w:t>
        </w:r>
        <w:r w:rsidR="005052E8">
          <w:rPr>
            <w:noProof/>
            <w:webHidden/>
          </w:rPr>
          <w:tab/>
        </w:r>
        <w:r>
          <w:rPr>
            <w:noProof/>
            <w:webHidden/>
          </w:rPr>
          <w:fldChar w:fldCharType="begin"/>
        </w:r>
        <w:r w:rsidR="005052E8">
          <w:rPr>
            <w:noProof/>
            <w:webHidden/>
          </w:rPr>
          <w:instrText xml:space="preserve"> PAGEREF _Toc528913496 \h </w:instrText>
        </w:r>
        <w:r>
          <w:rPr>
            <w:noProof/>
            <w:webHidden/>
          </w:rPr>
        </w:r>
        <w:r>
          <w:rPr>
            <w:noProof/>
            <w:webHidden/>
          </w:rPr>
          <w:fldChar w:fldCharType="separate"/>
        </w:r>
        <w:r w:rsidR="005052E8">
          <w:rPr>
            <w:noProof/>
            <w:webHidden/>
          </w:rPr>
          <w:t>6</w:t>
        </w:r>
        <w:r>
          <w:rPr>
            <w:noProof/>
            <w:webHidden/>
          </w:rPr>
          <w:fldChar w:fldCharType="end"/>
        </w:r>
      </w:hyperlink>
    </w:p>
    <w:p w:rsidR="005052E8" w:rsidRDefault="0064088A">
      <w:pPr>
        <w:pStyle w:val="TOC2"/>
        <w:rPr>
          <w:rFonts w:eastAsiaTheme="minorEastAsia"/>
          <w:noProof/>
          <w:lang w:eastAsia="en-AU"/>
        </w:rPr>
      </w:pPr>
      <w:hyperlink w:anchor="_Toc528913497" w:history="1">
        <w:r w:rsidR="005052E8" w:rsidRPr="004C6FAD">
          <w:rPr>
            <w:rStyle w:val="Hyperlink"/>
            <w:noProof/>
          </w:rPr>
          <w:t>1.4</w:t>
        </w:r>
        <w:r w:rsidR="005052E8">
          <w:rPr>
            <w:rFonts w:eastAsiaTheme="minorEastAsia"/>
            <w:noProof/>
            <w:lang w:eastAsia="en-AU"/>
          </w:rPr>
          <w:tab/>
        </w:r>
        <w:r w:rsidR="005052E8" w:rsidRPr="004C6FAD">
          <w:rPr>
            <w:rStyle w:val="Hyperlink"/>
            <w:noProof/>
          </w:rPr>
          <w:t>Grant Opportunity outcomes</w:t>
        </w:r>
        <w:r w:rsidR="005052E8">
          <w:rPr>
            <w:noProof/>
            <w:webHidden/>
          </w:rPr>
          <w:tab/>
        </w:r>
        <w:r>
          <w:rPr>
            <w:noProof/>
            <w:webHidden/>
          </w:rPr>
          <w:fldChar w:fldCharType="begin"/>
        </w:r>
        <w:r w:rsidR="005052E8">
          <w:rPr>
            <w:noProof/>
            <w:webHidden/>
          </w:rPr>
          <w:instrText xml:space="preserve"> PAGEREF _Toc528913497 \h </w:instrText>
        </w:r>
        <w:r>
          <w:rPr>
            <w:noProof/>
            <w:webHidden/>
          </w:rPr>
        </w:r>
        <w:r>
          <w:rPr>
            <w:noProof/>
            <w:webHidden/>
          </w:rPr>
          <w:fldChar w:fldCharType="separate"/>
        </w:r>
        <w:r w:rsidR="005052E8">
          <w:rPr>
            <w:noProof/>
            <w:webHidden/>
          </w:rPr>
          <w:t>6</w:t>
        </w:r>
        <w:r>
          <w:rPr>
            <w:noProof/>
            <w:webHidden/>
          </w:rPr>
          <w:fldChar w:fldCharType="end"/>
        </w:r>
      </w:hyperlink>
    </w:p>
    <w:p w:rsidR="005052E8" w:rsidRDefault="0064088A">
      <w:pPr>
        <w:pStyle w:val="TOC1"/>
        <w:rPr>
          <w:rFonts w:eastAsiaTheme="minorEastAsia"/>
          <w:b w:val="0"/>
          <w:noProof/>
          <w:sz w:val="22"/>
          <w:lang w:eastAsia="en-AU"/>
        </w:rPr>
      </w:pPr>
      <w:hyperlink w:anchor="_Toc528913498" w:history="1">
        <w:r w:rsidR="005052E8" w:rsidRPr="004C6FAD">
          <w:rPr>
            <w:rStyle w:val="Hyperlink"/>
            <w:noProof/>
          </w:rPr>
          <w:t>2.</w:t>
        </w:r>
        <w:r w:rsidR="005052E8">
          <w:rPr>
            <w:rFonts w:eastAsiaTheme="minorEastAsia"/>
            <w:b w:val="0"/>
            <w:noProof/>
            <w:sz w:val="22"/>
            <w:lang w:eastAsia="en-AU"/>
          </w:rPr>
          <w:tab/>
        </w:r>
        <w:r w:rsidR="005052E8" w:rsidRPr="004C6FAD">
          <w:rPr>
            <w:rStyle w:val="Hyperlink"/>
            <w:noProof/>
          </w:rPr>
          <w:t>Grant amount</w:t>
        </w:r>
        <w:r w:rsidR="005052E8">
          <w:rPr>
            <w:noProof/>
            <w:webHidden/>
          </w:rPr>
          <w:tab/>
        </w:r>
        <w:r>
          <w:rPr>
            <w:noProof/>
            <w:webHidden/>
          </w:rPr>
          <w:fldChar w:fldCharType="begin"/>
        </w:r>
        <w:r w:rsidR="005052E8">
          <w:rPr>
            <w:noProof/>
            <w:webHidden/>
          </w:rPr>
          <w:instrText xml:space="preserve"> PAGEREF _Toc528913498 \h </w:instrText>
        </w:r>
        <w:r>
          <w:rPr>
            <w:noProof/>
            <w:webHidden/>
          </w:rPr>
        </w:r>
        <w:r>
          <w:rPr>
            <w:noProof/>
            <w:webHidden/>
          </w:rPr>
          <w:fldChar w:fldCharType="separate"/>
        </w:r>
        <w:r w:rsidR="005052E8">
          <w:rPr>
            <w:noProof/>
            <w:webHidden/>
          </w:rPr>
          <w:t>6</w:t>
        </w:r>
        <w:r>
          <w:rPr>
            <w:noProof/>
            <w:webHidden/>
          </w:rPr>
          <w:fldChar w:fldCharType="end"/>
        </w:r>
      </w:hyperlink>
    </w:p>
    <w:p w:rsidR="005052E8" w:rsidRDefault="0064088A">
      <w:pPr>
        <w:pStyle w:val="TOC1"/>
        <w:rPr>
          <w:rFonts w:eastAsiaTheme="minorEastAsia"/>
          <w:b w:val="0"/>
          <w:noProof/>
          <w:sz w:val="22"/>
          <w:lang w:eastAsia="en-AU"/>
        </w:rPr>
      </w:pPr>
      <w:hyperlink w:anchor="_Toc528913499" w:history="1">
        <w:r w:rsidR="005052E8" w:rsidRPr="004C6FAD">
          <w:rPr>
            <w:rStyle w:val="Hyperlink"/>
            <w:noProof/>
          </w:rPr>
          <w:t>3.</w:t>
        </w:r>
        <w:r w:rsidR="005052E8">
          <w:rPr>
            <w:rFonts w:eastAsiaTheme="minorEastAsia"/>
            <w:b w:val="0"/>
            <w:noProof/>
            <w:sz w:val="22"/>
            <w:lang w:eastAsia="en-AU"/>
          </w:rPr>
          <w:tab/>
        </w:r>
        <w:r w:rsidR="005052E8" w:rsidRPr="004C6FAD">
          <w:rPr>
            <w:rStyle w:val="Hyperlink"/>
            <w:noProof/>
          </w:rPr>
          <w:t>Grant eligibility criteria</w:t>
        </w:r>
        <w:r w:rsidR="005052E8">
          <w:rPr>
            <w:noProof/>
            <w:webHidden/>
          </w:rPr>
          <w:tab/>
        </w:r>
        <w:r>
          <w:rPr>
            <w:noProof/>
            <w:webHidden/>
          </w:rPr>
          <w:fldChar w:fldCharType="begin"/>
        </w:r>
        <w:r w:rsidR="005052E8">
          <w:rPr>
            <w:noProof/>
            <w:webHidden/>
          </w:rPr>
          <w:instrText xml:space="preserve"> PAGEREF _Toc528913499 \h </w:instrText>
        </w:r>
        <w:r>
          <w:rPr>
            <w:noProof/>
            <w:webHidden/>
          </w:rPr>
        </w:r>
        <w:r>
          <w:rPr>
            <w:noProof/>
            <w:webHidden/>
          </w:rPr>
          <w:fldChar w:fldCharType="separate"/>
        </w:r>
        <w:r w:rsidR="005052E8">
          <w:rPr>
            <w:noProof/>
            <w:webHidden/>
          </w:rPr>
          <w:t>6</w:t>
        </w:r>
        <w:r>
          <w:rPr>
            <w:noProof/>
            <w:webHidden/>
          </w:rPr>
          <w:fldChar w:fldCharType="end"/>
        </w:r>
      </w:hyperlink>
    </w:p>
    <w:p w:rsidR="005052E8" w:rsidRDefault="0064088A">
      <w:pPr>
        <w:pStyle w:val="TOC2"/>
        <w:rPr>
          <w:rFonts w:eastAsiaTheme="minorEastAsia"/>
          <w:noProof/>
          <w:lang w:eastAsia="en-AU"/>
        </w:rPr>
      </w:pPr>
      <w:hyperlink w:anchor="_Toc528913500" w:history="1">
        <w:r w:rsidR="005052E8" w:rsidRPr="004C6FAD">
          <w:rPr>
            <w:rStyle w:val="Hyperlink"/>
            <w:noProof/>
          </w:rPr>
          <w:t>3.1</w:t>
        </w:r>
        <w:r w:rsidR="005052E8">
          <w:rPr>
            <w:rFonts w:eastAsiaTheme="minorEastAsia"/>
            <w:noProof/>
            <w:lang w:eastAsia="en-AU"/>
          </w:rPr>
          <w:tab/>
        </w:r>
        <w:r w:rsidR="005052E8" w:rsidRPr="004C6FAD">
          <w:rPr>
            <w:rStyle w:val="Hyperlink"/>
            <w:noProof/>
          </w:rPr>
          <w:t>Who is eligible to apply for a grant?</w:t>
        </w:r>
        <w:r w:rsidR="005052E8">
          <w:rPr>
            <w:noProof/>
            <w:webHidden/>
          </w:rPr>
          <w:tab/>
        </w:r>
        <w:r>
          <w:rPr>
            <w:noProof/>
            <w:webHidden/>
          </w:rPr>
          <w:fldChar w:fldCharType="begin"/>
        </w:r>
        <w:r w:rsidR="005052E8">
          <w:rPr>
            <w:noProof/>
            <w:webHidden/>
          </w:rPr>
          <w:instrText xml:space="preserve"> PAGEREF _Toc528913500 \h </w:instrText>
        </w:r>
        <w:r>
          <w:rPr>
            <w:noProof/>
            <w:webHidden/>
          </w:rPr>
        </w:r>
        <w:r>
          <w:rPr>
            <w:noProof/>
            <w:webHidden/>
          </w:rPr>
          <w:fldChar w:fldCharType="separate"/>
        </w:r>
        <w:r w:rsidR="005052E8">
          <w:rPr>
            <w:noProof/>
            <w:webHidden/>
          </w:rPr>
          <w:t>6</w:t>
        </w:r>
        <w:r>
          <w:rPr>
            <w:noProof/>
            <w:webHidden/>
          </w:rPr>
          <w:fldChar w:fldCharType="end"/>
        </w:r>
      </w:hyperlink>
    </w:p>
    <w:p w:rsidR="005052E8" w:rsidRDefault="0064088A">
      <w:pPr>
        <w:pStyle w:val="TOC2"/>
        <w:rPr>
          <w:rFonts w:eastAsiaTheme="minorEastAsia"/>
          <w:noProof/>
          <w:lang w:eastAsia="en-AU"/>
        </w:rPr>
      </w:pPr>
      <w:hyperlink w:anchor="_Toc528913501" w:history="1">
        <w:r w:rsidR="005052E8" w:rsidRPr="004C6FAD">
          <w:rPr>
            <w:rStyle w:val="Hyperlink"/>
            <w:noProof/>
          </w:rPr>
          <w:t>3.2</w:t>
        </w:r>
        <w:r w:rsidR="005052E8">
          <w:rPr>
            <w:rFonts w:eastAsiaTheme="minorEastAsia"/>
            <w:noProof/>
            <w:lang w:eastAsia="en-AU"/>
          </w:rPr>
          <w:tab/>
        </w:r>
        <w:r w:rsidR="005052E8" w:rsidRPr="004C6FAD">
          <w:rPr>
            <w:rStyle w:val="Hyperlink"/>
            <w:noProof/>
          </w:rPr>
          <w:t>Who is not eligible to apply for a grant?</w:t>
        </w:r>
        <w:r w:rsidR="005052E8">
          <w:rPr>
            <w:noProof/>
            <w:webHidden/>
          </w:rPr>
          <w:tab/>
        </w:r>
        <w:r>
          <w:rPr>
            <w:noProof/>
            <w:webHidden/>
          </w:rPr>
          <w:fldChar w:fldCharType="begin"/>
        </w:r>
        <w:r w:rsidR="005052E8">
          <w:rPr>
            <w:noProof/>
            <w:webHidden/>
          </w:rPr>
          <w:instrText xml:space="preserve"> PAGEREF _Toc528913501 \h </w:instrText>
        </w:r>
        <w:r>
          <w:rPr>
            <w:noProof/>
            <w:webHidden/>
          </w:rPr>
        </w:r>
        <w:r>
          <w:rPr>
            <w:noProof/>
            <w:webHidden/>
          </w:rPr>
          <w:fldChar w:fldCharType="separate"/>
        </w:r>
        <w:r w:rsidR="005052E8">
          <w:rPr>
            <w:noProof/>
            <w:webHidden/>
          </w:rPr>
          <w:t>8</w:t>
        </w:r>
        <w:r>
          <w:rPr>
            <w:noProof/>
            <w:webHidden/>
          </w:rPr>
          <w:fldChar w:fldCharType="end"/>
        </w:r>
      </w:hyperlink>
    </w:p>
    <w:p w:rsidR="005052E8" w:rsidRDefault="0064088A">
      <w:pPr>
        <w:pStyle w:val="TOC1"/>
        <w:rPr>
          <w:rFonts w:eastAsiaTheme="minorEastAsia"/>
          <w:b w:val="0"/>
          <w:noProof/>
          <w:sz w:val="22"/>
          <w:lang w:eastAsia="en-AU"/>
        </w:rPr>
      </w:pPr>
      <w:hyperlink w:anchor="_Toc528913502" w:history="1">
        <w:r w:rsidR="005052E8" w:rsidRPr="004C6FAD">
          <w:rPr>
            <w:rStyle w:val="Hyperlink"/>
            <w:noProof/>
          </w:rPr>
          <w:t>4.</w:t>
        </w:r>
        <w:r w:rsidR="005052E8">
          <w:rPr>
            <w:rFonts w:eastAsiaTheme="minorEastAsia"/>
            <w:b w:val="0"/>
            <w:noProof/>
            <w:sz w:val="22"/>
            <w:lang w:eastAsia="en-AU"/>
          </w:rPr>
          <w:tab/>
        </w:r>
        <w:r w:rsidR="005052E8" w:rsidRPr="004C6FAD">
          <w:rPr>
            <w:rStyle w:val="Hyperlink"/>
            <w:noProof/>
          </w:rPr>
          <w:t>Eligible grant activities</w:t>
        </w:r>
        <w:r w:rsidR="005052E8">
          <w:rPr>
            <w:noProof/>
            <w:webHidden/>
          </w:rPr>
          <w:tab/>
        </w:r>
        <w:r>
          <w:rPr>
            <w:noProof/>
            <w:webHidden/>
          </w:rPr>
          <w:fldChar w:fldCharType="begin"/>
        </w:r>
        <w:r w:rsidR="005052E8">
          <w:rPr>
            <w:noProof/>
            <w:webHidden/>
          </w:rPr>
          <w:instrText xml:space="preserve"> PAGEREF _Toc528913502 \h </w:instrText>
        </w:r>
        <w:r>
          <w:rPr>
            <w:noProof/>
            <w:webHidden/>
          </w:rPr>
        </w:r>
        <w:r>
          <w:rPr>
            <w:noProof/>
            <w:webHidden/>
          </w:rPr>
          <w:fldChar w:fldCharType="separate"/>
        </w:r>
        <w:r w:rsidR="005052E8">
          <w:rPr>
            <w:noProof/>
            <w:webHidden/>
          </w:rPr>
          <w:t>8</w:t>
        </w:r>
        <w:r>
          <w:rPr>
            <w:noProof/>
            <w:webHidden/>
          </w:rPr>
          <w:fldChar w:fldCharType="end"/>
        </w:r>
      </w:hyperlink>
    </w:p>
    <w:p w:rsidR="005052E8" w:rsidRDefault="0064088A">
      <w:pPr>
        <w:pStyle w:val="TOC2"/>
        <w:rPr>
          <w:rFonts w:eastAsiaTheme="minorEastAsia"/>
          <w:noProof/>
          <w:lang w:eastAsia="en-AU"/>
        </w:rPr>
      </w:pPr>
      <w:hyperlink w:anchor="_Toc528913503" w:history="1">
        <w:r w:rsidR="005052E8" w:rsidRPr="004C6FAD">
          <w:rPr>
            <w:rStyle w:val="Hyperlink"/>
            <w:noProof/>
          </w:rPr>
          <w:t>4.1</w:t>
        </w:r>
        <w:r w:rsidR="005052E8">
          <w:rPr>
            <w:rFonts w:eastAsiaTheme="minorEastAsia"/>
            <w:noProof/>
            <w:lang w:eastAsia="en-AU"/>
          </w:rPr>
          <w:tab/>
        </w:r>
        <w:r w:rsidR="005052E8" w:rsidRPr="004C6FAD">
          <w:rPr>
            <w:rStyle w:val="Hyperlink"/>
            <w:noProof/>
          </w:rPr>
          <w:t>What can the grant money be used for?</w:t>
        </w:r>
        <w:r w:rsidR="005052E8">
          <w:rPr>
            <w:noProof/>
            <w:webHidden/>
          </w:rPr>
          <w:tab/>
        </w:r>
        <w:r>
          <w:rPr>
            <w:noProof/>
            <w:webHidden/>
          </w:rPr>
          <w:fldChar w:fldCharType="begin"/>
        </w:r>
        <w:r w:rsidR="005052E8">
          <w:rPr>
            <w:noProof/>
            <w:webHidden/>
          </w:rPr>
          <w:instrText xml:space="preserve"> PAGEREF _Toc528913503 \h </w:instrText>
        </w:r>
        <w:r>
          <w:rPr>
            <w:noProof/>
            <w:webHidden/>
          </w:rPr>
        </w:r>
        <w:r>
          <w:rPr>
            <w:noProof/>
            <w:webHidden/>
          </w:rPr>
          <w:fldChar w:fldCharType="separate"/>
        </w:r>
        <w:r w:rsidR="005052E8">
          <w:rPr>
            <w:noProof/>
            <w:webHidden/>
          </w:rPr>
          <w:t>8</w:t>
        </w:r>
        <w:r>
          <w:rPr>
            <w:noProof/>
            <w:webHidden/>
          </w:rPr>
          <w:fldChar w:fldCharType="end"/>
        </w:r>
      </w:hyperlink>
    </w:p>
    <w:p w:rsidR="005052E8" w:rsidRDefault="0064088A">
      <w:pPr>
        <w:pStyle w:val="TOC2"/>
        <w:rPr>
          <w:rFonts w:eastAsiaTheme="minorEastAsia"/>
          <w:noProof/>
          <w:lang w:eastAsia="en-AU"/>
        </w:rPr>
      </w:pPr>
      <w:hyperlink w:anchor="_Toc528913504" w:history="1">
        <w:r w:rsidR="005052E8" w:rsidRPr="004C6FAD">
          <w:rPr>
            <w:rStyle w:val="Hyperlink"/>
            <w:noProof/>
          </w:rPr>
          <w:t>4.2</w:t>
        </w:r>
        <w:r w:rsidR="005052E8">
          <w:rPr>
            <w:rFonts w:eastAsiaTheme="minorEastAsia"/>
            <w:noProof/>
            <w:lang w:eastAsia="en-AU"/>
          </w:rPr>
          <w:tab/>
        </w:r>
        <w:r w:rsidR="005052E8" w:rsidRPr="004C6FAD">
          <w:rPr>
            <w:rStyle w:val="Hyperlink"/>
            <w:noProof/>
          </w:rPr>
          <w:t>What the grant money cannot be used for?</w:t>
        </w:r>
        <w:r w:rsidR="005052E8">
          <w:rPr>
            <w:noProof/>
            <w:webHidden/>
          </w:rPr>
          <w:tab/>
        </w:r>
        <w:r>
          <w:rPr>
            <w:noProof/>
            <w:webHidden/>
          </w:rPr>
          <w:fldChar w:fldCharType="begin"/>
        </w:r>
        <w:r w:rsidR="005052E8">
          <w:rPr>
            <w:noProof/>
            <w:webHidden/>
          </w:rPr>
          <w:instrText xml:space="preserve"> PAGEREF _Toc528913504 \h </w:instrText>
        </w:r>
        <w:r>
          <w:rPr>
            <w:noProof/>
            <w:webHidden/>
          </w:rPr>
        </w:r>
        <w:r>
          <w:rPr>
            <w:noProof/>
            <w:webHidden/>
          </w:rPr>
          <w:fldChar w:fldCharType="separate"/>
        </w:r>
        <w:r w:rsidR="005052E8">
          <w:rPr>
            <w:noProof/>
            <w:webHidden/>
          </w:rPr>
          <w:t>10</w:t>
        </w:r>
        <w:r>
          <w:rPr>
            <w:noProof/>
            <w:webHidden/>
          </w:rPr>
          <w:fldChar w:fldCharType="end"/>
        </w:r>
      </w:hyperlink>
    </w:p>
    <w:p w:rsidR="005052E8" w:rsidRDefault="0064088A">
      <w:pPr>
        <w:pStyle w:val="TOC1"/>
        <w:rPr>
          <w:rFonts w:eastAsiaTheme="minorEastAsia"/>
          <w:b w:val="0"/>
          <w:noProof/>
          <w:sz w:val="22"/>
          <w:lang w:eastAsia="en-AU"/>
        </w:rPr>
      </w:pPr>
      <w:hyperlink w:anchor="_Toc528913505" w:history="1">
        <w:r w:rsidR="005052E8" w:rsidRPr="004C6FAD">
          <w:rPr>
            <w:rStyle w:val="Hyperlink"/>
            <w:noProof/>
          </w:rPr>
          <w:t>5.</w:t>
        </w:r>
        <w:r w:rsidR="005052E8">
          <w:rPr>
            <w:rFonts w:eastAsiaTheme="minorEastAsia"/>
            <w:b w:val="0"/>
            <w:noProof/>
            <w:sz w:val="22"/>
            <w:lang w:eastAsia="en-AU"/>
          </w:rPr>
          <w:tab/>
        </w:r>
        <w:r w:rsidR="005052E8" w:rsidRPr="004C6FAD">
          <w:rPr>
            <w:rStyle w:val="Hyperlink"/>
            <w:noProof/>
          </w:rPr>
          <w:t>The grant selection process</w:t>
        </w:r>
        <w:r w:rsidR="005052E8">
          <w:rPr>
            <w:noProof/>
            <w:webHidden/>
          </w:rPr>
          <w:tab/>
        </w:r>
        <w:r>
          <w:rPr>
            <w:noProof/>
            <w:webHidden/>
          </w:rPr>
          <w:fldChar w:fldCharType="begin"/>
        </w:r>
        <w:r w:rsidR="005052E8">
          <w:rPr>
            <w:noProof/>
            <w:webHidden/>
          </w:rPr>
          <w:instrText xml:space="preserve"> PAGEREF _Toc528913505 \h </w:instrText>
        </w:r>
        <w:r>
          <w:rPr>
            <w:noProof/>
            <w:webHidden/>
          </w:rPr>
        </w:r>
        <w:r>
          <w:rPr>
            <w:noProof/>
            <w:webHidden/>
          </w:rPr>
          <w:fldChar w:fldCharType="separate"/>
        </w:r>
        <w:r w:rsidR="005052E8">
          <w:rPr>
            <w:noProof/>
            <w:webHidden/>
          </w:rPr>
          <w:t>11</w:t>
        </w:r>
        <w:r>
          <w:rPr>
            <w:noProof/>
            <w:webHidden/>
          </w:rPr>
          <w:fldChar w:fldCharType="end"/>
        </w:r>
      </w:hyperlink>
    </w:p>
    <w:p w:rsidR="005052E8" w:rsidRDefault="0064088A">
      <w:pPr>
        <w:pStyle w:val="TOC1"/>
        <w:rPr>
          <w:rFonts w:eastAsiaTheme="minorEastAsia"/>
          <w:b w:val="0"/>
          <w:noProof/>
          <w:sz w:val="22"/>
          <w:lang w:eastAsia="en-AU"/>
        </w:rPr>
      </w:pPr>
      <w:hyperlink w:anchor="_Toc528913506" w:history="1">
        <w:r w:rsidR="005052E8" w:rsidRPr="004C6FAD">
          <w:rPr>
            <w:rStyle w:val="Hyperlink"/>
            <w:noProof/>
          </w:rPr>
          <w:t>6.</w:t>
        </w:r>
        <w:r w:rsidR="005052E8">
          <w:rPr>
            <w:rFonts w:eastAsiaTheme="minorEastAsia"/>
            <w:b w:val="0"/>
            <w:noProof/>
            <w:sz w:val="22"/>
            <w:lang w:eastAsia="en-AU"/>
          </w:rPr>
          <w:tab/>
        </w:r>
        <w:r w:rsidR="005052E8" w:rsidRPr="004C6FAD">
          <w:rPr>
            <w:rStyle w:val="Hyperlink"/>
            <w:noProof/>
          </w:rPr>
          <w:t>The assessment criteria</w:t>
        </w:r>
        <w:r w:rsidR="005052E8">
          <w:rPr>
            <w:noProof/>
            <w:webHidden/>
          </w:rPr>
          <w:tab/>
        </w:r>
        <w:r>
          <w:rPr>
            <w:noProof/>
            <w:webHidden/>
          </w:rPr>
          <w:fldChar w:fldCharType="begin"/>
        </w:r>
        <w:r w:rsidR="005052E8">
          <w:rPr>
            <w:noProof/>
            <w:webHidden/>
          </w:rPr>
          <w:instrText xml:space="preserve"> PAGEREF _Toc528913506 \h </w:instrText>
        </w:r>
        <w:r>
          <w:rPr>
            <w:noProof/>
            <w:webHidden/>
          </w:rPr>
        </w:r>
        <w:r>
          <w:rPr>
            <w:noProof/>
            <w:webHidden/>
          </w:rPr>
          <w:fldChar w:fldCharType="separate"/>
        </w:r>
        <w:r w:rsidR="005052E8">
          <w:rPr>
            <w:noProof/>
            <w:webHidden/>
          </w:rPr>
          <w:t>11</w:t>
        </w:r>
        <w:r>
          <w:rPr>
            <w:noProof/>
            <w:webHidden/>
          </w:rPr>
          <w:fldChar w:fldCharType="end"/>
        </w:r>
      </w:hyperlink>
    </w:p>
    <w:p w:rsidR="005052E8" w:rsidRDefault="0064088A">
      <w:pPr>
        <w:pStyle w:val="TOC1"/>
        <w:rPr>
          <w:rFonts w:eastAsiaTheme="minorEastAsia"/>
          <w:b w:val="0"/>
          <w:noProof/>
          <w:sz w:val="22"/>
          <w:lang w:eastAsia="en-AU"/>
        </w:rPr>
      </w:pPr>
      <w:hyperlink w:anchor="_Toc528913507" w:history="1">
        <w:r w:rsidR="005052E8" w:rsidRPr="004C6FAD">
          <w:rPr>
            <w:rStyle w:val="Hyperlink"/>
            <w:noProof/>
          </w:rPr>
          <w:t>7.</w:t>
        </w:r>
        <w:r w:rsidR="005052E8">
          <w:rPr>
            <w:rFonts w:eastAsiaTheme="minorEastAsia"/>
            <w:b w:val="0"/>
            <w:noProof/>
            <w:sz w:val="22"/>
            <w:lang w:eastAsia="en-AU"/>
          </w:rPr>
          <w:tab/>
        </w:r>
        <w:r w:rsidR="005052E8" w:rsidRPr="004C6FAD">
          <w:rPr>
            <w:rStyle w:val="Hyperlink"/>
            <w:noProof/>
          </w:rPr>
          <w:t>The grant application process</w:t>
        </w:r>
        <w:r w:rsidR="005052E8">
          <w:rPr>
            <w:noProof/>
            <w:webHidden/>
          </w:rPr>
          <w:tab/>
        </w:r>
        <w:r>
          <w:rPr>
            <w:noProof/>
            <w:webHidden/>
          </w:rPr>
          <w:fldChar w:fldCharType="begin"/>
        </w:r>
        <w:r w:rsidR="005052E8">
          <w:rPr>
            <w:noProof/>
            <w:webHidden/>
          </w:rPr>
          <w:instrText xml:space="preserve"> PAGEREF _Toc528913507 \h </w:instrText>
        </w:r>
        <w:r>
          <w:rPr>
            <w:noProof/>
            <w:webHidden/>
          </w:rPr>
        </w:r>
        <w:r>
          <w:rPr>
            <w:noProof/>
            <w:webHidden/>
          </w:rPr>
          <w:fldChar w:fldCharType="separate"/>
        </w:r>
        <w:r w:rsidR="005052E8">
          <w:rPr>
            <w:noProof/>
            <w:webHidden/>
          </w:rPr>
          <w:t>12</w:t>
        </w:r>
        <w:r>
          <w:rPr>
            <w:noProof/>
            <w:webHidden/>
          </w:rPr>
          <w:fldChar w:fldCharType="end"/>
        </w:r>
      </w:hyperlink>
    </w:p>
    <w:p w:rsidR="005052E8" w:rsidRDefault="0064088A">
      <w:pPr>
        <w:pStyle w:val="TOC2"/>
        <w:rPr>
          <w:rFonts w:eastAsiaTheme="minorEastAsia"/>
          <w:noProof/>
          <w:lang w:eastAsia="en-AU"/>
        </w:rPr>
      </w:pPr>
      <w:hyperlink w:anchor="_Toc528913508" w:history="1">
        <w:r w:rsidR="005052E8" w:rsidRPr="004C6FAD">
          <w:rPr>
            <w:rStyle w:val="Hyperlink"/>
            <w:noProof/>
          </w:rPr>
          <w:t>7.1</w:t>
        </w:r>
        <w:r w:rsidR="005052E8">
          <w:rPr>
            <w:rFonts w:eastAsiaTheme="minorEastAsia"/>
            <w:noProof/>
            <w:lang w:eastAsia="en-AU"/>
          </w:rPr>
          <w:tab/>
        </w:r>
        <w:r w:rsidR="005052E8" w:rsidRPr="004C6FAD">
          <w:rPr>
            <w:rStyle w:val="Hyperlink"/>
            <w:noProof/>
          </w:rPr>
          <w:t>Overview of application process</w:t>
        </w:r>
        <w:r w:rsidR="005052E8">
          <w:rPr>
            <w:noProof/>
            <w:webHidden/>
          </w:rPr>
          <w:tab/>
        </w:r>
        <w:r>
          <w:rPr>
            <w:noProof/>
            <w:webHidden/>
          </w:rPr>
          <w:fldChar w:fldCharType="begin"/>
        </w:r>
        <w:r w:rsidR="005052E8">
          <w:rPr>
            <w:noProof/>
            <w:webHidden/>
          </w:rPr>
          <w:instrText xml:space="preserve"> PAGEREF _Toc528913508 \h </w:instrText>
        </w:r>
        <w:r>
          <w:rPr>
            <w:noProof/>
            <w:webHidden/>
          </w:rPr>
        </w:r>
        <w:r>
          <w:rPr>
            <w:noProof/>
            <w:webHidden/>
          </w:rPr>
          <w:fldChar w:fldCharType="separate"/>
        </w:r>
        <w:r w:rsidR="005052E8">
          <w:rPr>
            <w:noProof/>
            <w:webHidden/>
          </w:rPr>
          <w:t>12</w:t>
        </w:r>
        <w:r>
          <w:rPr>
            <w:noProof/>
            <w:webHidden/>
          </w:rPr>
          <w:fldChar w:fldCharType="end"/>
        </w:r>
      </w:hyperlink>
    </w:p>
    <w:p w:rsidR="005052E8" w:rsidRDefault="0064088A">
      <w:pPr>
        <w:pStyle w:val="TOC2"/>
        <w:rPr>
          <w:rFonts w:eastAsiaTheme="minorEastAsia"/>
          <w:noProof/>
          <w:lang w:eastAsia="en-AU"/>
        </w:rPr>
      </w:pPr>
      <w:hyperlink w:anchor="_Toc528913509" w:history="1">
        <w:r w:rsidR="005052E8" w:rsidRPr="004C6FAD">
          <w:rPr>
            <w:rStyle w:val="Hyperlink"/>
            <w:noProof/>
          </w:rPr>
          <w:t>7.2</w:t>
        </w:r>
        <w:r w:rsidR="005052E8">
          <w:rPr>
            <w:rFonts w:eastAsiaTheme="minorEastAsia"/>
            <w:noProof/>
            <w:lang w:eastAsia="en-AU"/>
          </w:rPr>
          <w:tab/>
        </w:r>
        <w:r w:rsidR="005052E8" w:rsidRPr="004C6FAD">
          <w:rPr>
            <w:rStyle w:val="Hyperlink"/>
            <w:noProof/>
          </w:rPr>
          <w:t>Application process timing</w:t>
        </w:r>
        <w:r w:rsidR="005052E8">
          <w:rPr>
            <w:noProof/>
            <w:webHidden/>
          </w:rPr>
          <w:tab/>
        </w:r>
        <w:r>
          <w:rPr>
            <w:noProof/>
            <w:webHidden/>
          </w:rPr>
          <w:fldChar w:fldCharType="begin"/>
        </w:r>
        <w:r w:rsidR="005052E8">
          <w:rPr>
            <w:noProof/>
            <w:webHidden/>
          </w:rPr>
          <w:instrText xml:space="preserve"> PAGEREF _Toc528913509 \h </w:instrText>
        </w:r>
        <w:r>
          <w:rPr>
            <w:noProof/>
            <w:webHidden/>
          </w:rPr>
        </w:r>
        <w:r>
          <w:rPr>
            <w:noProof/>
            <w:webHidden/>
          </w:rPr>
          <w:fldChar w:fldCharType="separate"/>
        </w:r>
        <w:r w:rsidR="005052E8">
          <w:rPr>
            <w:noProof/>
            <w:webHidden/>
          </w:rPr>
          <w:t>12</w:t>
        </w:r>
        <w:r>
          <w:rPr>
            <w:noProof/>
            <w:webHidden/>
          </w:rPr>
          <w:fldChar w:fldCharType="end"/>
        </w:r>
      </w:hyperlink>
    </w:p>
    <w:p w:rsidR="005052E8" w:rsidRDefault="0064088A">
      <w:pPr>
        <w:pStyle w:val="TOC2"/>
        <w:rPr>
          <w:rFonts w:eastAsiaTheme="minorEastAsia"/>
          <w:noProof/>
          <w:lang w:eastAsia="en-AU"/>
        </w:rPr>
      </w:pPr>
      <w:hyperlink w:anchor="_Toc528913510" w:history="1">
        <w:r w:rsidR="005052E8" w:rsidRPr="004C6FAD">
          <w:rPr>
            <w:rStyle w:val="Hyperlink"/>
            <w:noProof/>
          </w:rPr>
          <w:t>7.3</w:t>
        </w:r>
        <w:r w:rsidR="005052E8">
          <w:rPr>
            <w:rFonts w:eastAsiaTheme="minorEastAsia"/>
            <w:noProof/>
            <w:lang w:eastAsia="en-AU"/>
          </w:rPr>
          <w:tab/>
        </w:r>
        <w:r w:rsidR="005052E8" w:rsidRPr="004C6FAD">
          <w:rPr>
            <w:rStyle w:val="Hyperlink"/>
            <w:noProof/>
          </w:rPr>
          <w:t>Completing the grant application</w:t>
        </w:r>
        <w:r w:rsidR="005052E8">
          <w:rPr>
            <w:noProof/>
            <w:webHidden/>
          </w:rPr>
          <w:tab/>
        </w:r>
        <w:r>
          <w:rPr>
            <w:noProof/>
            <w:webHidden/>
          </w:rPr>
          <w:fldChar w:fldCharType="begin"/>
        </w:r>
        <w:r w:rsidR="005052E8">
          <w:rPr>
            <w:noProof/>
            <w:webHidden/>
          </w:rPr>
          <w:instrText xml:space="preserve"> PAGEREF _Toc528913510 \h </w:instrText>
        </w:r>
        <w:r>
          <w:rPr>
            <w:noProof/>
            <w:webHidden/>
          </w:rPr>
        </w:r>
        <w:r>
          <w:rPr>
            <w:noProof/>
            <w:webHidden/>
          </w:rPr>
          <w:fldChar w:fldCharType="separate"/>
        </w:r>
        <w:r w:rsidR="005052E8">
          <w:rPr>
            <w:noProof/>
            <w:webHidden/>
          </w:rPr>
          <w:t>13</w:t>
        </w:r>
        <w:r>
          <w:rPr>
            <w:noProof/>
            <w:webHidden/>
          </w:rPr>
          <w:fldChar w:fldCharType="end"/>
        </w:r>
      </w:hyperlink>
    </w:p>
    <w:p w:rsidR="005052E8" w:rsidRDefault="0064088A">
      <w:pPr>
        <w:pStyle w:val="TOC2"/>
        <w:rPr>
          <w:rFonts w:eastAsiaTheme="minorEastAsia"/>
          <w:noProof/>
          <w:lang w:eastAsia="en-AU"/>
        </w:rPr>
      </w:pPr>
      <w:hyperlink w:anchor="_Toc528913511" w:history="1">
        <w:r w:rsidR="005052E8" w:rsidRPr="004C6FAD">
          <w:rPr>
            <w:rStyle w:val="Hyperlink"/>
            <w:noProof/>
          </w:rPr>
          <w:t>7.4</w:t>
        </w:r>
        <w:r w:rsidR="005052E8">
          <w:rPr>
            <w:rFonts w:eastAsiaTheme="minorEastAsia"/>
            <w:noProof/>
            <w:lang w:eastAsia="en-AU"/>
          </w:rPr>
          <w:tab/>
        </w:r>
        <w:r w:rsidR="005052E8" w:rsidRPr="004C6FAD">
          <w:rPr>
            <w:rStyle w:val="Hyperlink"/>
            <w:noProof/>
          </w:rPr>
          <w:t>Attachments to the application</w:t>
        </w:r>
        <w:r w:rsidR="005052E8">
          <w:rPr>
            <w:noProof/>
            <w:webHidden/>
          </w:rPr>
          <w:tab/>
        </w:r>
        <w:r>
          <w:rPr>
            <w:noProof/>
            <w:webHidden/>
          </w:rPr>
          <w:fldChar w:fldCharType="begin"/>
        </w:r>
        <w:r w:rsidR="005052E8">
          <w:rPr>
            <w:noProof/>
            <w:webHidden/>
          </w:rPr>
          <w:instrText xml:space="preserve"> PAGEREF _Toc528913511 \h </w:instrText>
        </w:r>
        <w:r>
          <w:rPr>
            <w:noProof/>
            <w:webHidden/>
          </w:rPr>
        </w:r>
        <w:r>
          <w:rPr>
            <w:noProof/>
            <w:webHidden/>
          </w:rPr>
          <w:fldChar w:fldCharType="separate"/>
        </w:r>
        <w:r w:rsidR="005052E8">
          <w:rPr>
            <w:noProof/>
            <w:webHidden/>
          </w:rPr>
          <w:t>14</w:t>
        </w:r>
        <w:r>
          <w:rPr>
            <w:noProof/>
            <w:webHidden/>
          </w:rPr>
          <w:fldChar w:fldCharType="end"/>
        </w:r>
      </w:hyperlink>
    </w:p>
    <w:p w:rsidR="005052E8" w:rsidRDefault="0064088A">
      <w:pPr>
        <w:pStyle w:val="TOC2"/>
        <w:rPr>
          <w:rFonts w:eastAsiaTheme="minorEastAsia"/>
          <w:noProof/>
          <w:lang w:eastAsia="en-AU"/>
        </w:rPr>
      </w:pPr>
      <w:hyperlink w:anchor="_Toc528913512" w:history="1">
        <w:r w:rsidR="005052E8" w:rsidRPr="004C6FAD">
          <w:rPr>
            <w:rStyle w:val="Hyperlink"/>
            <w:noProof/>
          </w:rPr>
          <w:t>7.5</w:t>
        </w:r>
        <w:r w:rsidR="005052E8">
          <w:rPr>
            <w:rFonts w:eastAsiaTheme="minorEastAsia"/>
            <w:noProof/>
            <w:lang w:eastAsia="en-AU"/>
          </w:rPr>
          <w:tab/>
        </w:r>
        <w:r w:rsidR="005052E8" w:rsidRPr="004C6FAD">
          <w:rPr>
            <w:rStyle w:val="Hyperlink"/>
            <w:noProof/>
          </w:rPr>
          <w:t>Applications from consortia</w:t>
        </w:r>
        <w:r w:rsidR="005052E8">
          <w:rPr>
            <w:noProof/>
            <w:webHidden/>
          </w:rPr>
          <w:tab/>
        </w:r>
        <w:r>
          <w:rPr>
            <w:noProof/>
            <w:webHidden/>
          </w:rPr>
          <w:fldChar w:fldCharType="begin"/>
        </w:r>
        <w:r w:rsidR="005052E8">
          <w:rPr>
            <w:noProof/>
            <w:webHidden/>
          </w:rPr>
          <w:instrText xml:space="preserve"> PAGEREF _Toc528913512 \h </w:instrText>
        </w:r>
        <w:r>
          <w:rPr>
            <w:noProof/>
            <w:webHidden/>
          </w:rPr>
        </w:r>
        <w:r>
          <w:rPr>
            <w:noProof/>
            <w:webHidden/>
          </w:rPr>
          <w:fldChar w:fldCharType="separate"/>
        </w:r>
        <w:r w:rsidR="005052E8">
          <w:rPr>
            <w:noProof/>
            <w:webHidden/>
          </w:rPr>
          <w:t>15</w:t>
        </w:r>
        <w:r>
          <w:rPr>
            <w:noProof/>
            <w:webHidden/>
          </w:rPr>
          <w:fldChar w:fldCharType="end"/>
        </w:r>
      </w:hyperlink>
    </w:p>
    <w:p w:rsidR="005052E8" w:rsidRDefault="0064088A">
      <w:pPr>
        <w:pStyle w:val="TOC2"/>
        <w:rPr>
          <w:rFonts w:eastAsiaTheme="minorEastAsia"/>
          <w:noProof/>
          <w:lang w:eastAsia="en-AU"/>
        </w:rPr>
      </w:pPr>
      <w:hyperlink w:anchor="_Toc528913513" w:history="1">
        <w:r w:rsidR="005052E8" w:rsidRPr="004C6FAD">
          <w:rPr>
            <w:rStyle w:val="Hyperlink"/>
            <w:noProof/>
          </w:rPr>
          <w:t>7.6</w:t>
        </w:r>
        <w:r w:rsidR="005052E8">
          <w:rPr>
            <w:rFonts w:eastAsiaTheme="minorEastAsia"/>
            <w:noProof/>
            <w:lang w:eastAsia="en-AU"/>
          </w:rPr>
          <w:tab/>
        </w:r>
        <w:r w:rsidR="005052E8" w:rsidRPr="004C6FAD">
          <w:rPr>
            <w:rStyle w:val="Hyperlink"/>
            <w:noProof/>
          </w:rPr>
          <w:t>Questions during the application process</w:t>
        </w:r>
        <w:r w:rsidR="005052E8">
          <w:rPr>
            <w:noProof/>
            <w:webHidden/>
          </w:rPr>
          <w:tab/>
        </w:r>
        <w:r>
          <w:rPr>
            <w:noProof/>
            <w:webHidden/>
          </w:rPr>
          <w:fldChar w:fldCharType="begin"/>
        </w:r>
        <w:r w:rsidR="005052E8">
          <w:rPr>
            <w:noProof/>
            <w:webHidden/>
          </w:rPr>
          <w:instrText xml:space="preserve"> PAGEREF _Toc528913513 \h </w:instrText>
        </w:r>
        <w:r>
          <w:rPr>
            <w:noProof/>
            <w:webHidden/>
          </w:rPr>
        </w:r>
        <w:r>
          <w:rPr>
            <w:noProof/>
            <w:webHidden/>
          </w:rPr>
          <w:fldChar w:fldCharType="separate"/>
        </w:r>
        <w:r w:rsidR="005052E8">
          <w:rPr>
            <w:noProof/>
            <w:webHidden/>
          </w:rPr>
          <w:t>15</w:t>
        </w:r>
        <w:r>
          <w:rPr>
            <w:noProof/>
            <w:webHidden/>
          </w:rPr>
          <w:fldChar w:fldCharType="end"/>
        </w:r>
      </w:hyperlink>
    </w:p>
    <w:p w:rsidR="005052E8" w:rsidRDefault="0064088A">
      <w:pPr>
        <w:pStyle w:val="TOC1"/>
        <w:rPr>
          <w:rFonts w:eastAsiaTheme="minorEastAsia"/>
          <w:b w:val="0"/>
          <w:noProof/>
          <w:sz w:val="22"/>
          <w:lang w:eastAsia="en-AU"/>
        </w:rPr>
      </w:pPr>
      <w:hyperlink w:anchor="_Toc528913514" w:history="1">
        <w:r w:rsidR="005052E8" w:rsidRPr="004C6FAD">
          <w:rPr>
            <w:rStyle w:val="Hyperlink"/>
            <w:noProof/>
          </w:rPr>
          <w:t>8.</w:t>
        </w:r>
        <w:r w:rsidR="005052E8">
          <w:rPr>
            <w:rFonts w:eastAsiaTheme="minorEastAsia"/>
            <w:b w:val="0"/>
            <w:noProof/>
            <w:sz w:val="22"/>
            <w:lang w:eastAsia="en-AU"/>
          </w:rPr>
          <w:tab/>
        </w:r>
        <w:r w:rsidR="005052E8" w:rsidRPr="004C6FAD">
          <w:rPr>
            <w:rStyle w:val="Hyperlink"/>
            <w:noProof/>
          </w:rPr>
          <w:t>Assessment of grant applications</w:t>
        </w:r>
        <w:r w:rsidR="005052E8">
          <w:rPr>
            <w:noProof/>
            <w:webHidden/>
          </w:rPr>
          <w:tab/>
        </w:r>
        <w:r>
          <w:rPr>
            <w:noProof/>
            <w:webHidden/>
          </w:rPr>
          <w:fldChar w:fldCharType="begin"/>
        </w:r>
        <w:r w:rsidR="005052E8">
          <w:rPr>
            <w:noProof/>
            <w:webHidden/>
          </w:rPr>
          <w:instrText xml:space="preserve"> PAGEREF _Toc528913514 \h </w:instrText>
        </w:r>
        <w:r>
          <w:rPr>
            <w:noProof/>
            <w:webHidden/>
          </w:rPr>
        </w:r>
        <w:r>
          <w:rPr>
            <w:noProof/>
            <w:webHidden/>
          </w:rPr>
          <w:fldChar w:fldCharType="separate"/>
        </w:r>
        <w:r w:rsidR="005052E8">
          <w:rPr>
            <w:noProof/>
            <w:webHidden/>
          </w:rPr>
          <w:t>15</w:t>
        </w:r>
        <w:r>
          <w:rPr>
            <w:noProof/>
            <w:webHidden/>
          </w:rPr>
          <w:fldChar w:fldCharType="end"/>
        </w:r>
      </w:hyperlink>
    </w:p>
    <w:p w:rsidR="005052E8" w:rsidRDefault="0064088A">
      <w:pPr>
        <w:pStyle w:val="TOC2"/>
        <w:rPr>
          <w:rFonts w:eastAsiaTheme="minorEastAsia"/>
          <w:noProof/>
          <w:lang w:eastAsia="en-AU"/>
        </w:rPr>
      </w:pPr>
      <w:hyperlink w:anchor="_Toc528913515" w:history="1">
        <w:r w:rsidR="005052E8" w:rsidRPr="004C6FAD">
          <w:rPr>
            <w:rStyle w:val="Hyperlink"/>
            <w:noProof/>
          </w:rPr>
          <w:t>8.1</w:t>
        </w:r>
        <w:r w:rsidR="005052E8">
          <w:rPr>
            <w:rFonts w:eastAsiaTheme="minorEastAsia"/>
            <w:noProof/>
            <w:lang w:eastAsia="en-AU"/>
          </w:rPr>
          <w:tab/>
        </w:r>
        <w:r w:rsidR="005052E8" w:rsidRPr="004C6FAD">
          <w:rPr>
            <w:rStyle w:val="Hyperlink"/>
            <w:noProof/>
          </w:rPr>
          <w:t>Who will assess applications?</w:t>
        </w:r>
        <w:r w:rsidR="005052E8">
          <w:rPr>
            <w:noProof/>
            <w:webHidden/>
          </w:rPr>
          <w:tab/>
        </w:r>
        <w:r>
          <w:rPr>
            <w:noProof/>
            <w:webHidden/>
          </w:rPr>
          <w:fldChar w:fldCharType="begin"/>
        </w:r>
        <w:r w:rsidR="005052E8">
          <w:rPr>
            <w:noProof/>
            <w:webHidden/>
          </w:rPr>
          <w:instrText xml:space="preserve"> PAGEREF _Toc528913515 \h </w:instrText>
        </w:r>
        <w:r>
          <w:rPr>
            <w:noProof/>
            <w:webHidden/>
          </w:rPr>
        </w:r>
        <w:r>
          <w:rPr>
            <w:noProof/>
            <w:webHidden/>
          </w:rPr>
          <w:fldChar w:fldCharType="separate"/>
        </w:r>
        <w:r w:rsidR="005052E8">
          <w:rPr>
            <w:noProof/>
            <w:webHidden/>
          </w:rPr>
          <w:t>15</w:t>
        </w:r>
        <w:r>
          <w:rPr>
            <w:noProof/>
            <w:webHidden/>
          </w:rPr>
          <w:fldChar w:fldCharType="end"/>
        </w:r>
      </w:hyperlink>
    </w:p>
    <w:p w:rsidR="005052E8" w:rsidRDefault="0064088A">
      <w:pPr>
        <w:pStyle w:val="TOC2"/>
        <w:rPr>
          <w:rFonts w:eastAsiaTheme="minorEastAsia"/>
          <w:noProof/>
          <w:lang w:eastAsia="en-AU"/>
        </w:rPr>
      </w:pPr>
      <w:hyperlink w:anchor="_Toc528913516" w:history="1">
        <w:r w:rsidR="005052E8" w:rsidRPr="004C6FAD">
          <w:rPr>
            <w:rStyle w:val="Hyperlink"/>
            <w:noProof/>
          </w:rPr>
          <w:t>8.2</w:t>
        </w:r>
        <w:r w:rsidR="005052E8">
          <w:rPr>
            <w:rFonts w:eastAsiaTheme="minorEastAsia"/>
            <w:noProof/>
            <w:lang w:eastAsia="en-AU"/>
          </w:rPr>
          <w:tab/>
        </w:r>
        <w:r w:rsidR="005052E8" w:rsidRPr="004C6FAD">
          <w:rPr>
            <w:rStyle w:val="Hyperlink"/>
            <w:noProof/>
          </w:rPr>
          <w:t>Who will approve grants?</w:t>
        </w:r>
        <w:r w:rsidR="005052E8">
          <w:rPr>
            <w:noProof/>
            <w:webHidden/>
          </w:rPr>
          <w:tab/>
        </w:r>
        <w:r>
          <w:rPr>
            <w:noProof/>
            <w:webHidden/>
          </w:rPr>
          <w:fldChar w:fldCharType="begin"/>
        </w:r>
        <w:r w:rsidR="005052E8">
          <w:rPr>
            <w:noProof/>
            <w:webHidden/>
          </w:rPr>
          <w:instrText xml:space="preserve"> PAGEREF _Toc528913516 \h </w:instrText>
        </w:r>
        <w:r>
          <w:rPr>
            <w:noProof/>
            <w:webHidden/>
          </w:rPr>
        </w:r>
        <w:r>
          <w:rPr>
            <w:noProof/>
            <w:webHidden/>
          </w:rPr>
          <w:fldChar w:fldCharType="separate"/>
        </w:r>
        <w:r w:rsidR="005052E8">
          <w:rPr>
            <w:noProof/>
            <w:webHidden/>
          </w:rPr>
          <w:t>16</w:t>
        </w:r>
        <w:r>
          <w:rPr>
            <w:noProof/>
            <w:webHidden/>
          </w:rPr>
          <w:fldChar w:fldCharType="end"/>
        </w:r>
      </w:hyperlink>
    </w:p>
    <w:p w:rsidR="005052E8" w:rsidRDefault="0064088A">
      <w:pPr>
        <w:pStyle w:val="TOC1"/>
        <w:rPr>
          <w:rFonts w:eastAsiaTheme="minorEastAsia"/>
          <w:b w:val="0"/>
          <w:noProof/>
          <w:sz w:val="22"/>
          <w:lang w:eastAsia="en-AU"/>
        </w:rPr>
      </w:pPr>
      <w:hyperlink w:anchor="_Toc528913517" w:history="1">
        <w:r w:rsidR="005052E8" w:rsidRPr="004C6FAD">
          <w:rPr>
            <w:rStyle w:val="Hyperlink"/>
            <w:noProof/>
          </w:rPr>
          <w:t>9.</w:t>
        </w:r>
        <w:r w:rsidR="005052E8">
          <w:rPr>
            <w:rFonts w:eastAsiaTheme="minorEastAsia"/>
            <w:b w:val="0"/>
            <w:noProof/>
            <w:sz w:val="22"/>
            <w:lang w:eastAsia="en-AU"/>
          </w:rPr>
          <w:tab/>
        </w:r>
        <w:r w:rsidR="005052E8" w:rsidRPr="004C6FAD">
          <w:rPr>
            <w:rStyle w:val="Hyperlink"/>
            <w:noProof/>
          </w:rPr>
          <w:t>Notification of application outcomes</w:t>
        </w:r>
        <w:r w:rsidR="005052E8">
          <w:rPr>
            <w:noProof/>
            <w:webHidden/>
          </w:rPr>
          <w:tab/>
        </w:r>
        <w:r>
          <w:rPr>
            <w:noProof/>
            <w:webHidden/>
          </w:rPr>
          <w:fldChar w:fldCharType="begin"/>
        </w:r>
        <w:r w:rsidR="005052E8">
          <w:rPr>
            <w:noProof/>
            <w:webHidden/>
          </w:rPr>
          <w:instrText xml:space="preserve"> PAGEREF _Toc528913517 \h </w:instrText>
        </w:r>
        <w:r>
          <w:rPr>
            <w:noProof/>
            <w:webHidden/>
          </w:rPr>
        </w:r>
        <w:r>
          <w:rPr>
            <w:noProof/>
            <w:webHidden/>
          </w:rPr>
          <w:fldChar w:fldCharType="separate"/>
        </w:r>
        <w:r w:rsidR="005052E8">
          <w:rPr>
            <w:noProof/>
            <w:webHidden/>
          </w:rPr>
          <w:t>16</w:t>
        </w:r>
        <w:r>
          <w:rPr>
            <w:noProof/>
            <w:webHidden/>
          </w:rPr>
          <w:fldChar w:fldCharType="end"/>
        </w:r>
      </w:hyperlink>
    </w:p>
    <w:p w:rsidR="005052E8" w:rsidRDefault="0064088A">
      <w:pPr>
        <w:pStyle w:val="TOC2"/>
        <w:rPr>
          <w:rFonts w:eastAsiaTheme="minorEastAsia"/>
          <w:noProof/>
          <w:lang w:eastAsia="en-AU"/>
        </w:rPr>
      </w:pPr>
      <w:hyperlink w:anchor="_Toc528913518" w:history="1">
        <w:r w:rsidR="005052E8" w:rsidRPr="004C6FAD">
          <w:rPr>
            <w:rStyle w:val="Hyperlink"/>
            <w:noProof/>
          </w:rPr>
          <w:t>9.1</w:t>
        </w:r>
        <w:r w:rsidR="005052E8">
          <w:rPr>
            <w:rFonts w:eastAsiaTheme="minorEastAsia"/>
            <w:noProof/>
            <w:lang w:eastAsia="en-AU"/>
          </w:rPr>
          <w:tab/>
        </w:r>
        <w:r w:rsidR="005052E8" w:rsidRPr="004C6FAD">
          <w:rPr>
            <w:rStyle w:val="Hyperlink"/>
            <w:noProof/>
          </w:rPr>
          <w:t>Feedback on your application</w:t>
        </w:r>
        <w:r w:rsidR="005052E8">
          <w:rPr>
            <w:noProof/>
            <w:webHidden/>
          </w:rPr>
          <w:tab/>
        </w:r>
        <w:r>
          <w:rPr>
            <w:noProof/>
            <w:webHidden/>
          </w:rPr>
          <w:fldChar w:fldCharType="begin"/>
        </w:r>
        <w:r w:rsidR="005052E8">
          <w:rPr>
            <w:noProof/>
            <w:webHidden/>
          </w:rPr>
          <w:instrText xml:space="preserve"> PAGEREF _Toc528913518 \h </w:instrText>
        </w:r>
        <w:r>
          <w:rPr>
            <w:noProof/>
            <w:webHidden/>
          </w:rPr>
        </w:r>
        <w:r>
          <w:rPr>
            <w:noProof/>
            <w:webHidden/>
          </w:rPr>
          <w:fldChar w:fldCharType="separate"/>
        </w:r>
        <w:r w:rsidR="005052E8">
          <w:rPr>
            <w:noProof/>
            <w:webHidden/>
          </w:rPr>
          <w:t>16</w:t>
        </w:r>
        <w:r>
          <w:rPr>
            <w:noProof/>
            <w:webHidden/>
          </w:rPr>
          <w:fldChar w:fldCharType="end"/>
        </w:r>
      </w:hyperlink>
    </w:p>
    <w:p w:rsidR="005052E8" w:rsidRDefault="0064088A">
      <w:pPr>
        <w:pStyle w:val="TOC1"/>
        <w:rPr>
          <w:rFonts w:eastAsiaTheme="minorEastAsia"/>
          <w:b w:val="0"/>
          <w:noProof/>
          <w:sz w:val="22"/>
          <w:lang w:eastAsia="en-AU"/>
        </w:rPr>
      </w:pPr>
      <w:hyperlink w:anchor="_Toc528913519" w:history="1">
        <w:r w:rsidR="005052E8" w:rsidRPr="004C6FAD">
          <w:rPr>
            <w:rStyle w:val="Hyperlink"/>
            <w:noProof/>
          </w:rPr>
          <w:t>10.</w:t>
        </w:r>
        <w:r w:rsidR="005052E8">
          <w:rPr>
            <w:rFonts w:eastAsiaTheme="minorEastAsia"/>
            <w:b w:val="0"/>
            <w:noProof/>
            <w:sz w:val="22"/>
            <w:lang w:eastAsia="en-AU"/>
          </w:rPr>
          <w:tab/>
        </w:r>
        <w:r w:rsidR="005052E8" w:rsidRPr="004C6FAD">
          <w:rPr>
            <w:rStyle w:val="Hyperlink"/>
            <w:noProof/>
          </w:rPr>
          <w:t>Successful grant applications</w:t>
        </w:r>
        <w:r w:rsidR="005052E8">
          <w:rPr>
            <w:noProof/>
            <w:webHidden/>
          </w:rPr>
          <w:tab/>
        </w:r>
        <w:r>
          <w:rPr>
            <w:noProof/>
            <w:webHidden/>
          </w:rPr>
          <w:fldChar w:fldCharType="begin"/>
        </w:r>
        <w:r w:rsidR="005052E8">
          <w:rPr>
            <w:noProof/>
            <w:webHidden/>
          </w:rPr>
          <w:instrText xml:space="preserve"> PAGEREF _Toc528913519 \h </w:instrText>
        </w:r>
        <w:r>
          <w:rPr>
            <w:noProof/>
            <w:webHidden/>
          </w:rPr>
        </w:r>
        <w:r>
          <w:rPr>
            <w:noProof/>
            <w:webHidden/>
          </w:rPr>
          <w:fldChar w:fldCharType="separate"/>
        </w:r>
        <w:r w:rsidR="005052E8">
          <w:rPr>
            <w:noProof/>
            <w:webHidden/>
          </w:rPr>
          <w:t>17</w:t>
        </w:r>
        <w:r>
          <w:rPr>
            <w:noProof/>
            <w:webHidden/>
          </w:rPr>
          <w:fldChar w:fldCharType="end"/>
        </w:r>
      </w:hyperlink>
    </w:p>
    <w:p w:rsidR="005052E8" w:rsidRDefault="0064088A">
      <w:pPr>
        <w:pStyle w:val="TOC2"/>
        <w:rPr>
          <w:rFonts w:eastAsiaTheme="minorEastAsia"/>
          <w:noProof/>
          <w:lang w:eastAsia="en-AU"/>
        </w:rPr>
      </w:pPr>
      <w:hyperlink w:anchor="_Toc528913520" w:history="1">
        <w:r w:rsidR="005052E8" w:rsidRPr="004C6FAD">
          <w:rPr>
            <w:rStyle w:val="Hyperlink"/>
            <w:noProof/>
          </w:rPr>
          <w:t>10.1</w:t>
        </w:r>
        <w:r w:rsidR="005052E8">
          <w:rPr>
            <w:rFonts w:eastAsiaTheme="minorEastAsia"/>
            <w:noProof/>
            <w:lang w:eastAsia="en-AU"/>
          </w:rPr>
          <w:tab/>
        </w:r>
        <w:r w:rsidR="005052E8" w:rsidRPr="004C6FAD">
          <w:rPr>
            <w:rStyle w:val="Hyperlink"/>
            <w:noProof/>
          </w:rPr>
          <w:t>The grant agreement</w:t>
        </w:r>
        <w:r w:rsidR="005052E8">
          <w:rPr>
            <w:noProof/>
            <w:webHidden/>
          </w:rPr>
          <w:tab/>
        </w:r>
        <w:r>
          <w:rPr>
            <w:noProof/>
            <w:webHidden/>
          </w:rPr>
          <w:fldChar w:fldCharType="begin"/>
        </w:r>
        <w:r w:rsidR="005052E8">
          <w:rPr>
            <w:noProof/>
            <w:webHidden/>
          </w:rPr>
          <w:instrText xml:space="preserve"> PAGEREF _Toc528913520 \h </w:instrText>
        </w:r>
        <w:r>
          <w:rPr>
            <w:noProof/>
            <w:webHidden/>
          </w:rPr>
        </w:r>
        <w:r>
          <w:rPr>
            <w:noProof/>
            <w:webHidden/>
          </w:rPr>
          <w:fldChar w:fldCharType="separate"/>
        </w:r>
        <w:r w:rsidR="005052E8">
          <w:rPr>
            <w:noProof/>
            <w:webHidden/>
          </w:rPr>
          <w:t>17</w:t>
        </w:r>
        <w:r>
          <w:rPr>
            <w:noProof/>
            <w:webHidden/>
          </w:rPr>
          <w:fldChar w:fldCharType="end"/>
        </w:r>
      </w:hyperlink>
    </w:p>
    <w:p w:rsidR="005052E8" w:rsidRDefault="0064088A">
      <w:pPr>
        <w:pStyle w:val="TOC2"/>
        <w:rPr>
          <w:rFonts w:eastAsiaTheme="minorEastAsia"/>
          <w:noProof/>
          <w:lang w:eastAsia="en-AU"/>
        </w:rPr>
      </w:pPr>
      <w:hyperlink w:anchor="_Toc528913521" w:history="1">
        <w:r w:rsidR="005052E8" w:rsidRPr="004C6FAD">
          <w:rPr>
            <w:rStyle w:val="Hyperlink"/>
            <w:noProof/>
          </w:rPr>
          <w:t>10.2</w:t>
        </w:r>
        <w:r w:rsidR="005052E8">
          <w:rPr>
            <w:rFonts w:eastAsiaTheme="minorEastAsia"/>
            <w:noProof/>
            <w:lang w:eastAsia="en-AU"/>
          </w:rPr>
          <w:tab/>
        </w:r>
        <w:r w:rsidR="005052E8" w:rsidRPr="004C6FAD">
          <w:rPr>
            <w:rStyle w:val="Hyperlink"/>
            <w:noProof/>
          </w:rPr>
          <w:t>How the grant will be paid</w:t>
        </w:r>
        <w:r w:rsidR="005052E8">
          <w:rPr>
            <w:noProof/>
            <w:webHidden/>
          </w:rPr>
          <w:tab/>
        </w:r>
        <w:r>
          <w:rPr>
            <w:noProof/>
            <w:webHidden/>
          </w:rPr>
          <w:fldChar w:fldCharType="begin"/>
        </w:r>
        <w:r w:rsidR="005052E8">
          <w:rPr>
            <w:noProof/>
            <w:webHidden/>
          </w:rPr>
          <w:instrText xml:space="preserve"> PAGEREF _Toc528913521 \h </w:instrText>
        </w:r>
        <w:r>
          <w:rPr>
            <w:noProof/>
            <w:webHidden/>
          </w:rPr>
        </w:r>
        <w:r>
          <w:rPr>
            <w:noProof/>
            <w:webHidden/>
          </w:rPr>
          <w:fldChar w:fldCharType="separate"/>
        </w:r>
        <w:r w:rsidR="005052E8">
          <w:rPr>
            <w:noProof/>
            <w:webHidden/>
          </w:rPr>
          <w:t>17</w:t>
        </w:r>
        <w:r>
          <w:rPr>
            <w:noProof/>
            <w:webHidden/>
          </w:rPr>
          <w:fldChar w:fldCharType="end"/>
        </w:r>
      </w:hyperlink>
    </w:p>
    <w:p w:rsidR="005052E8" w:rsidRDefault="0064088A">
      <w:pPr>
        <w:pStyle w:val="TOC1"/>
        <w:rPr>
          <w:rFonts w:eastAsiaTheme="minorEastAsia"/>
          <w:b w:val="0"/>
          <w:noProof/>
          <w:sz w:val="22"/>
          <w:lang w:eastAsia="en-AU"/>
        </w:rPr>
      </w:pPr>
      <w:hyperlink w:anchor="_Toc528913522" w:history="1">
        <w:r w:rsidR="005052E8" w:rsidRPr="004C6FAD">
          <w:rPr>
            <w:rStyle w:val="Hyperlink"/>
            <w:noProof/>
          </w:rPr>
          <w:t>11.</w:t>
        </w:r>
        <w:r w:rsidR="005052E8">
          <w:rPr>
            <w:rFonts w:eastAsiaTheme="minorEastAsia"/>
            <w:b w:val="0"/>
            <w:noProof/>
            <w:sz w:val="22"/>
            <w:lang w:eastAsia="en-AU"/>
          </w:rPr>
          <w:tab/>
        </w:r>
        <w:r w:rsidR="005052E8" w:rsidRPr="004C6FAD">
          <w:rPr>
            <w:rStyle w:val="Hyperlink"/>
            <w:noProof/>
          </w:rPr>
          <w:t>Announcement of grants</w:t>
        </w:r>
        <w:r w:rsidR="005052E8">
          <w:rPr>
            <w:noProof/>
            <w:webHidden/>
          </w:rPr>
          <w:tab/>
        </w:r>
        <w:r>
          <w:rPr>
            <w:noProof/>
            <w:webHidden/>
          </w:rPr>
          <w:fldChar w:fldCharType="begin"/>
        </w:r>
        <w:r w:rsidR="005052E8">
          <w:rPr>
            <w:noProof/>
            <w:webHidden/>
          </w:rPr>
          <w:instrText xml:space="preserve"> PAGEREF _Toc528913522 \h </w:instrText>
        </w:r>
        <w:r>
          <w:rPr>
            <w:noProof/>
            <w:webHidden/>
          </w:rPr>
        </w:r>
        <w:r>
          <w:rPr>
            <w:noProof/>
            <w:webHidden/>
          </w:rPr>
          <w:fldChar w:fldCharType="separate"/>
        </w:r>
        <w:r w:rsidR="005052E8">
          <w:rPr>
            <w:noProof/>
            <w:webHidden/>
          </w:rPr>
          <w:t>18</w:t>
        </w:r>
        <w:r>
          <w:rPr>
            <w:noProof/>
            <w:webHidden/>
          </w:rPr>
          <w:fldChar w:fldCharType="end"/>
        </w:r>
      </w:hyperlink>
    </w:p>
    <w:p w:rsidR="005052E8" w:rsidRDefault="0064088A">
      <w:pPr>
        <w:pStyle w:val="TOC1"/>
        <w:rPr>
          <w:rFonts w:eastAsiaTheme="minorEastAsia"/>
          <w:b w:val="0"/>
          <w:noProof/>
          <w:sz w:val="22"/>
          <w:lang w:eastAsia="en-AU"/>
        </w:rPr>
      </w:pPr>
      <w:hyperlink w:anchor="_Toc528913523" w:history="1">
        <w:r w:rsidR="005052E8" w:rsidRPr="004C6FAD">
          <w:rPr>
            <w:rStyle w:val="Hyperlink"/>
            <w:noProof/>
          </w:rPr>
          <w:t>12.</w:t>
        </w:r>
        <w:r w:rsidR="005052E8">
          <w:rPr>
            <w:rFonts w:eastAsiaTheme="minorEastAsia"/>
            <w:b w:val="0"/>
            <w:noProof/>
            <w:sz w:val="22"/>
            <w:lang w:eastAsia="en-AU"/>
          </w:rPr>
          <w:tab/>
        </w:r>
        <w:r w:rsidR="005052E8" w:rsidRPr="004C6FAD">
          <w:rPr>
            <w:rStyle w:val="Hyperlink"/>
            <w:noProof/>
          </w:rPr>
          <w:t>Delivery of grant activities</w:t>
        </w:r>
        <w:r w:rsidR="005052E8">
          <w:rPr>
            <w:noProof/>
            <w:webHidden/>
          </w:rPr>
          <w:tab/>
        </w:r>
        <w:r>
          <w:rPr>
            <w:noProof/>
            <w:webHidden/>
          </w:rPr>
          <w:fldChar w:fldCharType="begin"/>
        </w:r>
        <w:r w:rsidR="005052E8">
          <w:rPr>
            <w:noProof/>
            <w:webHidden/>
          </w:rPr>
          <w:instrText xml:space="preserve"> PAGEREF _Toc528913523 \h </w:instrText>
        </w:r>
        <w:r>
          <w:rPr>
            <w:noProof/>
            <w:webHidden/>
          </w:rPr>
        </w:r>
        <w:r>
          <w:rPr>
            <w:noProof/>
            <w:webHidden/>
          </w:rPr>
          <w:fldChar w:fldCharType="separate"/>
        </w:r>
        <w:r w:rsidR="005052E8">
          <w:rPr>
            <w:noProof/>
            <w:webHidden/>
          </w:rPr>
          <w:t>18</w:t>
        </w:r>
        <w:r>
          <w:rPr>
            <w:noProof/>
            <w:webHidden/>
          </w:rPr>
          <w:fldChar w:fldCharType="end"/>
        </w:r>
      </w:hyperlink>
    </w:p>
    <w:p w:rsidR="005052E8" w:rsidRDefault="0064088A">
      <w:pPr>
        <w:pStyle w:val="TOC2"/>
        <w:rPr>
          <w:rFonts w:eastAsiaTheme="minorEastAsia"/>
          <w:noProof/>
          <w:lang w:eastAsia="en-AU"/>
        </w:rPr>
      </w:pPr>
      <w:hyperlink w:anchor="_Toc528913524" w:history="1">
        <w:r w:rsidR="005052E8" w:rsidRPr="004C6FAD">
          <w:rPr>
            <w:rStyle w:val="Hyperlink"/>
            <w:noProof/>
          </w:rPr>
          <w:t>12.1</w:t>
        </w:r>
        <w:r w:rsidR="005052E8">
          <w:rPr>
            <w:rFonts w:eastAsiaTheme="minorEastAsia"/>
            <w:noProof/>
            <w:lang w:eastAsia="en-AU"/>
          </w:rPr>
          <w:tab/>
        </w:r>
        <w:r w:rsidR="005052E8" w:rsidRPr="004C6FAD">
          <w:rPr>
            <w:rStyle w:val="Hyperlink"/>
            <w:noProof/>
          </w:rPr>
          <w:t>Your responsibilities</w:t>
        </w:r>
        <w:r w:rsidR="005052E8">
          <w:rPr>
            <w:noProof/>
            <w:webHidden/>
          </w:rPr>
          <w:tab/>
        </w:r>
        <w:r>
          <w:rPr>
            <w:noProof/>
            <w:webHidden/>
          </w:rPr>
          <w:fldChar w:fldCharType="begin"/>
        </w:r>
        <w:r w:rsidR="005052E8">
          <w:rPr>
            <w:noProof/>
            <w:webHidden/>
          </w:rPr>
          <w:instrText xml:space="preserve"> PAGEREF _Toc528913524 \h </w:instrText>
        </w:r>
        <w:r>
          <w:rPr>
            <w:noProof/>
            <w:webHidden/>
          </w:rPr>
        </w:r>
        <w:r>
          <w:rPr>
            <w:noProof/>
            <w:webHidden/>
          </w:rPr>
          <w:fldChar w:fldCharType="separate"/>
        </w:r>
        <w:r w:rsidR="005052E8">
          <w:rPr>
            <w:noProof/>
            <w:webHidden/>
          </w:rPr>
          <w:t>18</w:t>
        </w:r>
        <w:r>
          <w:rPr>
            <w:noProof/>
            <w:webHidden/>
          </w:rPr>
          <w:fldChar w:fldCharType="end"/>
        </w:r>
      </w:hyperlink>
    </w:p>
    <w:p w:rsidR="005052E8" w:rsidRDefault="0064088A">
      <w:pPr>
        <w:pStyle w:val="TOC2"/>
        <w:rPr>
          <w:rFonts w:eastAsiaTheme="minorEastAsia"/>
          <w:noProof/>
          <w:lang w:eastAsia="en-AU"/>
        </w:rPr>
      </w:pPr>
      <w:hyperlink w:anchor="_Toc528913525" w:history="1">
        <w:r w:rsidR="005052E8" w:rsidRPr="004C6FAD">
          <w:rPr>
            <w:rStyle w:val="Hyperlink"/>
            <w:noProof/>
          </w:rPr>
          <w:t>12.2</w:t>
        </w:r>
        <w:r w:rsidR="005052E8">
          <w:rPr>
            <w:rFonts w:eastAsiaTheme="minorEastAsia"/>
            <w:noProof/>
            <w:lang w:eastAsia="en-AU"/>
          </w:rPr>
          <w:tab/>
        </w:r>
        <w:r w:rsidR="005052E8" w:rsidRPr="004C6FAD">
          <w:rPr>
            <w:rStyle w:val="Hyperlink"/>
            <w:noProof/>
          </w:rPr>
          <w:t>The Community Grant Hub’s responsibilities</w:t>
        </w:r>
        <w:r w:rsidR="005052E8">
          <w:rPr>
            <w:noProof/>
            <w:webHidden/>
          </w:rPr>
          <w:tab/>
        </w:r>
        <w:r>
          <w:rPr>
            <w:noProof/>
            <w:webHidden/>
          </w:rPr>
          <w:fldChar w:fldCharType="begin"/>
        </w:r>
        <w:r w:rsidR="005052E8">
          <w:rPr>
            <w:noProof/>
            <w:webHidden/>
          </w:rPr>
          <w:instrText xml:space="preserve"> PAGEREF _Toc528913525 \h </w:instrText>
        </w:r>
        <w:r>
          <w:rPr>
            <w:noProof/>
            <w:webHidden/>
          </w:rPr>
        </w:r>
        <w:r>
          <w:rPr>
            <w:noProof/>
            <w:webHidden/>
          </w:rPr>
          <w:fldChar w:fldCharType="separate"/>
        </w:r>
        <w:r w:rsidR="005052E8">
          <w:rPr>
            <w:noProof/>
            <w:webHidden/>
          </w:rPr>
          <w:t>18</w:t>
        </w:r>
        <w:r>
          <w:rPr>
            <w:noProof/>
            <w:webHidden/>
          </w:rPr>
          <w:fldChar w:fldCharType="end"/>
        </w:r>
      </w:hyperlink>
    </w:p>
    <w:p w:rsidR="005052E8" w:rsidRDefault="0064088A">
      <w:pPr>
        <w:pStyle w:val="TOC2"/>
        <w:rPr>
          <w:rFonts w:eastAsiaTheme="minorEastAsia"/>
          <w:noProof/>
          <w:lang w:eastAsia="en-AU"/>
        </w:rPr>
      </w:pPr>
      <w:hyperlink w:anchor="_Toc528913526" w:history="1">
        <w:r w:rsidR="005052E8" w:rsidRPr="004C6FAD">
          <w:rPr>
            <w:rStyle w:val="Hyperlink"/>
            <w:noProof/>
          </w:rPr>
          <w:t>12.3</w:t>
        </w:r>
        <w:r w:rsidR="005052E8">
          <w:rPr>
            <w:rFonts w:eastAsiaTheme="minorEastAsia"/>
            <w:noProof/>
            <w:lang w:eastAsia="en-AU"/>
          </w:rPr>
          <w:tab/>
        </w:r>
        <w:r w:rsidR="005052E8" w:rsidRPr="004C6FAD">
          <w:rPr>
            <w:rStyle w:val="Hyperlink"/>
            <w:noProof/>
          </w:rPr>
          <w:t>Grant payments and GST</w:t>
        </w:r>
        <w:r w:rsidR="005052E8">
          <w:rPr>
            <w:noProof/>
            <w:webHidden/>
          </w:rPr>
          <w:tab/>
        </w:r>
        <w:r>
          <w:rPr>
            <w:noProof/>
            <w:webHidden/>
          </w:rPr>
          <w:fldChar w:fldCharType="begin"/>
        </w:r>
        <w:r w:rsidR="005052E8">
          <w:rPr>
            <w:noProof/>
            <w:webHidden/>
          </w:rPr>
          <w:instrText xml:space="preserve"> PAGEREF _Toc528913526 \h </w:instrText>
        </w:r>
        <w:r>
          <w:rPr>
            <w:noProof/>
            <w:webHidden/>
          </w:rPr>
        </w:r>
        <w:r>
          <w:rPr>
            <w:noProof/>
            <w:webHidden/>
          </w:rPr>
          <w:fldChar w:fldCharType="separate"/>
        </w:r>
        <w:r w:rsidR="005052E8">
          <w:rPr>
            <w:noProof/>
            <w:webHidden/>
          </w:rPr>
          <w:t>18</w:t>
        </w:r>
        <w:r>
          <w:rPr>
            <w:noProof/>
            <w:webHidden/>
          </w:rPr>
          <w:fldChar w:fldCharType="end"/>
        </w:r>
      </w:hyperlink>
    </w:p>
    <w:p w:rsidR="005052E8" w:rsidRDefault="0064088A">
      <w:pPr>
        <w:pStyle w:val="TOC2"/>
        <w:rPr>
          <w:rFonts w:eastAsiaTheme="minorEastAsia"/>
          <w:noProof/>
          <w:lang w:eastAsia="en-AU"/>
        </w:rPr>
      </w:pPr>
      <w:hyperlink w:anchor="_Toc528913527" w:history="1">
        <w:r w:rsidR="005052E8" w:rsidRPr="004C6FAD">
          <w:rPr>
            <w:rStyle w:val="Hyperlink"/>
            <w:noProof/>
          </w:rPr>
          <w:t>12.4</w:t>
        </w:r>
        <w:r w:rsidR="005052E8">
          <w:rPr>
            <w:rFonts w:eastAsiaTheme="minorEastAsia"/>
            <w:noProof/>
            <w:lang w:eastAsia="en-AU"/>
          </w:rPr>
          <w:tab/>
        </w:r>
        <w:r w:rsidR="005052E8" w:rsidRPr="004C6FAD">
          <w:rPr>
            <w:rStyle w:val="Hyperlink"/>
            <w:noProof/>
          </w:rPr>
          <w:t>Reporting</w:t>
        </w:r>
        <w:r w:rsidR="005052E8">
          <w:rPr>
            <w:noProof/>
            <w:webHidden/>
          </w:rPr>
          <w:tab/>
        </w:r>
        <w:r>
          <w:rPr>
            <w:noProof/>
            <w:webHidden/>
          </w:rPr>
          <w:fldChar w:fldCharType="begin"/>
        </w:r>
        <w:r w:rsidR="005052E8">
          <w:rPr>
            <w:noProof/>
            <w:webHidden/>
          </w:rPr>
          <w:instrText xml:space="preserve"> PAGEREF _Toc528913527 \h </w:instrText>
        </w:r>
        <w:r>
          <w:rPr>
            <w:noProof/>
            <w:webHidden/>
          </w:rPr>
        </w:r>
        <w:r>
          <w:rPr>
            <w:noProof/>
            <w:webHidden/>
          </w:rPr>
          <w:fldChar w:fldCharType="separate"/>
        </w:r>
        <w:r w:rsidR="005052E8">
          <w:rPr>
            <w:noProof/>
            <w:webHidden/>
          </w:rPr>
          <w:t>19</w:t>
        </w:r>
        <w:r>
          <w:rPr>
            <w:noProof/>
            <w:webHidden/>
          </w:rPr>
          <w:fldChar w:fldCharType="end"/>
        </w:r>
      </w:hyperlink>
    </w:p>
    <w:p w:rsidR="005052E8" w:rsidRDefault="0064088A">
      <w:pPr>
        <w:pStyle w:val="TOC2"/>
        <w:rPr>
          <w:rFonts w:eastAsiaTheme="minorEastAsia"/>
          <w:noProof/>
          <w:lang w:eastAsia="en-AU"/>
        </w:rPr>
      </w:pPr>
      <w:hyperlink w:anchor="_Toc528913528" w:history="1">
        <w:r w:rsidR="005052E8" w:rsidRPr="004C6FAD">
          <w:rPr>
            <w:rStyle w:val="Hyperlink"/>
            <w:noProof/>
          </w:rPr>
          <w:t>12.5</w:t>
        </w:r>
        <w:r w:rsidR="005052E8">
          <w:rPr>
            <w:rFonts w:eastAsiaTheme="minorEastAsia"/>
            <w:noProof/>
            <w:lang w:eastAsia="en-AU"/>
          </w:rPr>
          <w:tab/>
        </w:r>
        <w:r w:rsidR="005052E8" w:rsidRPr="004C6FAD">
          <w:rPr>
            <w:rStyle w:val="Hyperlink"/>
            <w:noProof/>
          </w:rPr>
          <w:t>Evaluation</w:t>
        </w:r>
        <w:r w:rsidR="005052E8">
          <w:rPr>
            <w:noProof/>
            <w:webHidden/>
          </w:rPr>
          <w:tab/>
        </w:r>
        <w:r>
          <w:rPr>
            <w:noProof/>
            <w:webHidden/>
          </w:rPr>
          <w:fldChar w:fldCharType="begin"/>
        </w:r>
        <w:r w:rsidR="005052E8">
          <w:rPr>
            <w:noProof/>
            <w:webHidden/>
          </w:rPr>
          <w:instrText xml:space="preserve"> PAGEREF _Toc528913528 \h </w:instrText>
        </w:r>
        <w:r>
          <w:rPr>
            <w:noProof/>
            <w:webHidden/>
          </w:rPr>
        </w:r>
        <w:r>
          <w:rPr>
            <w:noProof/>
            <w:webHidden/>
          </w:rPr>
          <w:fldChar w:fldCharType="separate"/>
        </w:r>
        <w:r w:rsidR="005052E8">
          <w:rPr>
            <w:noProof/>
            <w:webHidden/>
          </w:rPr>
          <w:t>19</w:t>
        </w:r>
        <w:r>
          <w:rPr>
            <w:noProof/>
            <w:webHidden/>
          </w:rPr>
          <w:fldChar w:fldCharType="end"/>
        </w:r>
      </w:hyperlink>
    </w:p>
    <w:p w:rsidR="005052E8" w:rsidRDefault="0064088A">
      <w:pPr>
        <w:pStyle w:val="TOC2"/>
        <w:rPr>
          <w:rFonts w:eastAsiaTheme="minorEastAsia"/>
          <w:noProof/>
          <w:lang w:eastAsia="en-AU"/>
        </w:rPr>
      </w:pPr>
      <w:hyperlink w:anchor="_Toc528913529" w:history="1">
        <w:r w:rsidR="005052E8" w:rsidRPr="004C6FAD">
          <w:rPr>
            <w:rStyle w:val="Hyperlink"/>
            <w:noProof/>
          </w:rPr>
          <w:t>12.6</w:t>
        </w:r>
        <w:r w:rsidR="005052E8">
          <w:rPr>
            <w:rFonts w:eastAsiaTheme="minorEastAsia"/>
            <w:noProof/>
            <w:lang w:eastAsia="en-AU"/>
          </w:rPr>
          <w:tab/>
        </w:r>
        <w:r w:rsidR="005052E8" w:rsidRPr="004C6FAD">
          <w:rPr>
            <w:rStyle w:val="Hyperlink"/>
            <w:noProof/>
          </w:rPr>
          <w:t>Acknowledgement</w:t>
        </w:r>
        <w:r w:rsidR="005052E8">
          <w:rPr>
            <w:noProof/>
            <w:webHidden/>
          </w:rPr>
          <w:tab/>
        </w:r>
        <w:r>
          <w:rPr>
            <w:noProof/>
            <w:webHidden/>
          </w:rPr>
          <w:fldChar w:fldCharType="begin"/>
        </w:r>
        <w:r w:rsidR="005052E8">
          <w:rPr>
            <w:noProof/>
            <w:webHidden/>
          </w:rPr>
          <w:instrText xml:space="preserve"> PAGEREF _Toc528913529 \h </w:instrText>
        </w:r>
        <w:r>
          <w:rPr>
            <w:noProof/>
            <w:webHidden/>
          </w:rPr>
        </w:r>
        <w:r>
          <w:rPr>
            <w:noProof/>
            <w:webHidden/>
          </w:rPr>
          <w:fldChar w:fldCharType="separate"/>
        </w:r>
        <w:r w:rsidR="005052E8">
          <w:rPr>
            <w:noProof/>
            <w:webHidden/>
          </w:rPr>
          <w:t>19</w:t>
        </w:r>
        <w:r>
          <w:rPr>
            <w:noProof/>
            <w:webHidden/>
          </w:rPr>
          <w:fldChar w:fldCharType="end"/>
        </w:r>
      </w:hyperlink>
    </w:p>
    <w:p w:rsidR="005052E8" w:rsidRDefault="0064088A">
      <w:pPr>
        <w:pStyle w:val="TOC1"/>
        <w:rPr>
          <w:rFonts w:eastAsiaTheme="minorEastAsia"/>
          <w:b w:val="0"/>
          <w:noProof/>
          <w:sz w:val="22"/>
          <w:lang w:eastAsia="en-AU"/>
        </w:rPr>
      </w:pPr>
      <w:hyperlink w:anchor="_Toc528913530" w:history="1">
        <w:r w:rsidR="005052E8" w:rsidRPr="004C6FAD">
          <w:rPr>
            <w:rStyle w:val="Hyperlink"/>
            <w:noProof/>
          </w:rPr>
          <w:t>13.</w:t>
        </w:r>
        <w:r w:rsidR="005052E8">
          <w:rPr>
            <w:rFonts w:eastAsiaTheme="minorEastAsia"/>
            <w:b w:val="0"/>
            <w:noProof/>
            <w:sz w:val="22"/>
            <w:lang w:eastAsia="en-AU"/>
          </w:rPr>
          <w:tab/>
        </w:r>
        <w:r w:rsidR="005052E8" w:rsidRPr="004C6FAD">
          <w:rPr>
            <w:rStyle w:val="Hyperlink"/>
            <w:noProof/>
          </w:rPr>
          <w:t>Probity</w:t>
        </w:r>
        <w:r w:rsidR="005052E8">
          <w:rPr>
            <w:noProof/>
            <w:webHidden/>
          </w:rPr>
          <w:tab/>
        </w:r>
        <w:r>
          <w:rPr>
            <w:noProof/>
            <w:webHidden/>
          </w:rPr>
          <w:fldChar w:fldCharType="begin"/>
        </w:r>
        <w:r w:rsidR="005052E8">
          <w:rPr>
            <w:noProof/>
            <w:webHidden/>
          </w:rPr>
          <w:instrText xml:space="preserve"> PAGEREF _Toc528913530 \h </w:instrText>
        </w:r>
        <w:r>
          <w:rPr>
            <w:noProof/>
            <w:webHidden/>
          </w:rPr>
        </w:r>
        <w:r>
          <w:rPr>
            <w:noProof/>
            <w:webHidden/>
          </w:rPr>
          <w:fldChar w:fldCharType="separate"/>
        </w:r>
        <w:r w:rsidR="005052E8">
          <w:rPr>
            <w:noProof/>
            <w:webHidden/>
          </w:rPr>
          <w:t>20</w:t>
        </w:r>
        <w:r>
          <w:rPr>
            <w:noProof/>
            <w:webHidden/>
          </w:rPr>
          <w:fldChar w:fldCharType="end"/>
        </w:r>
      </w:hyperlink>
    </w:p>
    <w:p w:rsidR="005052E8" w:rsidRDefault="0064088A">
      <w:pPr>
        <w:pStyle w:val="TOC2"/>
        <w:rPr>
          <w:rFonts w:eastAsiaTheme="minorEastAsia"/>
          <w:noProof/>
          <w:lang w:eastAsia="en-AU"/>
        </w:rPr>
      </w:pPr>
      <w:hyperlink w:anchor="_Toc528913531" w:history="1">
        <w:r w:rsidR="005052E8" w:rsidRPr="004C6FAD">
          <w:rPr>
            <w:rStyle w:val="Hyperlink"/>
            <w:noProof/>
          </w:rPr>
          <w:t>13.1</w:t>
        </w:r>
        <w:r w:rsidR="005052E8">
          <w:rPr>
            <w:rFonts w:eastAsiaTheme="minorEastAsia"/>
            <w:noProof/>
            <w:lang w:eastAsia="en-AU"/>
          </w:rPr>
          <w:tab/>
        </w:r>
        <w:r w:rsidR="005052E8" w:rsidRPr="004C6FAD">
          <w:rPr>
            <w:rStyle w:val="Hyperlink"/>
            <w:noProof/>
          </w:rPr>
          <w:t>Complaints process</w:t>
        </w:r>
        <w:r w:rsidR="005052E8">
          <w:rPr>
            <w:noProof/>
            <w:webHidden/>
          </w:rPr>
          <w:tab/>
        </w:r>
        <w:r>
          <w:rPr>
            <w:noProof/>
            <w:webHidden/>
          </w:rPr>
          <w:fldChar w:fldCharType="begin"/>
        </w:r>
        <w:r w:rsidR="005052E8">
          <w:rPr>
            <w:noProof/>
            <w:webHidden/>
          </w:rPr>
          <w:instrText xml:space="preserve"> PAGEREF _Toc528913531 \h </w:instrText>
        </w:r>
        <w:r>
          <w:rPr>
            <w:noProof/>
            <w:webHidden/>
          </w:rPr>
        </w:r>
        <w:r>
          <w:rPr>
            <w:noProof/>
            <w:webHidden/>
          </w:rPr>
          <w:fldChar w:fldCharType="separate"/>
        </w:r>
        <w:r w:rsidR="005052E8">
          <w:rPr>
            <w:noProof/>
            <w:webHidden/>
          </w:rPr>
          <w:t>20</w:t>
        </w:r>
        <w:r>
          <w:rPr>
            <w:noProof/>
            <w:webHidden/>
          </w:rPr>
          <w:fldChar w:fldCharType="end"/>
        </w:r>
      </w:hyperlink>
    </w:p>
    <w:p w:rsidR="005052E8" w:rsidRDefault="0064088A">
      <w:pPr>
        <w:pStyle w:val="TOC2"/>
        <w:rPr>
          <w:rFonts w:eastAsiaTheme="minorEastAsia"/>
          <w:noProof/>
          <w:lang w:eastAsia="en-AU"/>
        </w:rPr>
      </w:pPr>
      <w:hyperlink w:anchor="_Toc528913532" w:history="1">
        <w:r w:rsidR="005052E8" w:rsidRPr="004C6FAD">
          <w:rPr>
            <w:rStyle w:val="Hyperlink"/>
            <w:noProof/>
          </w:rPr>
          <w:t>13.2</w:t>
        </w:r>
        <w:r w:rsidR="005052E8">
          <w:rPr>
            <w:rFonts w:eastAsiaTheme="minorEastAsia"/>
            <w:noProof/>
            <w:lang w:eastAsia="en-AU"/>
          </w:rPr>
          <w:tab/>
        </w:r>
        <w:r w:rsidR="005052E8" w:rsidRPr="004C6FAD">
          <w:rPr>
            <w:rStyle w:val="Hyperlink"/>
            <w:noProof/>
          </w:rPr>
          <w:t>Conflict of interest</w:t>
        </w:r>
        <w:r w:rsidR="005052E8">
          <w:rPr>
            <w:noProof/>
            <w:webHidden/>
          </w:rPr>
          <w:tab/>
        </w:r>
        <w:r>
          <w:rPr>
            <w:noProof/>
            <w:webHidden/>
          </w:rPr>
          <w:fldChar w:fldCharType="begin"/>
        </w:r>
        <w:r w:rsidR="005052E8">
          <w:rPr>
            <w:noProof/>
            <w:webHidden/>
          </w:rPr>
          <w:instrText xml:space="preserve"> PAGEREF _Toc528913532 \h </w:instrText>
        </w:r>
        <w:r>
          <w:rPr>
            <w:noProof/>
            <w:webHidden/>
          </w:rPr>
        </w:r>
        <w:r>
          <w:rPr>
            <w:noProof/>
            <w:webHidden/>
          </w:rPr>
          <w:fldChar w:fldCharType="separate"/>
        </w:r>
        <w:r w:rsidR="005052E8">
          <w:rPr>
            <w:noProof/>
            <w:webHidden/>
          </w:rPr>
          <w:t>21</w:t>
        </w:r>
        <w:r>
          <w:rPr>
            <w:noProof/>
            <w:webHidden/>
          </w:rPr>
          <w:fldChar w:fldCharType="end"/>
        </w:r>
      </w:hyperlink>
    </w:p>
    <w:p w:rsidR="005052E8" w:rsidRDefault="0064088A">
      <w:pPr>
        <w:pStyle w:val="TOC2"/>
        <w:rPr>
          <w:rFonts w:eastAsiaTheme="minorEastAsia"/>
          <w:noProof/>
          <w:lang w:eastAsia="en-AU"/>
        </w:rPr>
      </w:pPr>
      <w:hyperlink w:anchor="_Toc528913533" w:history="1">
        <w:r w:rsidR="005052E8" w:rsidRPr="004C6FAD">
          <w:rPr>
            <w:rStyle w:val="Hyperlink"/>
            <w:noProof/>
          </w:rPr>
          <w:t>13.3</w:t>
        </w:r>
        <w:r w:rsidR="005052E8">
          <w:rPr>
            <w:rFonts w:eastAsiaTheme="minorEastAsia"/>
            <w:noProof/>
            <w:lang w:eastAsia="en-AU"/>
          </w:rPr>
          <w:tab/>
        </w:r>
        <w:r w:rsidR="005052E8" w:rsidRPr="004C6FAD">
          <w:rPr>
            <w:rStyle w:val="Hyperlink"/>
            <w:noProof/>
          </w:rPr>
          <w:t>Privacy: confidentiality and protection of personal information</w:t>
        </w:r>
        <w:r w:rsidR="005052E8">
          <w:rPr>
            <w:noProof/>
            <w:webHidden/>
          </w:rPr>
          <w:tab/>
        </w:r>
        <w:r>
          <w:rPr>
            <w:noProof/>
            <w:webHidden/>
          </w:rPr>
          <w:fldChar w:fldCharType="begin"/>
        </w:r>
        <w:r w:rsidR="005052E8">
          <w:rPr>
            <w:noProof/>
            <w:webHidden/>
          </w:rPr>
          <w:instrText xml:space="preserve"> PAGEREF _Toc528913533 \h </w:instrText>
        </w:r>
        <w:r>
          <w:rPr>
            <w:noProof/>
            <w:webHidden/>
          </w:rPr>
        </w:r>
        <w:r>
          <w:rPr>
            <w:noProof/>
            <w:webHidden/>
          </w:rPr>
          <w:fldChar w:fldCharType="separate"/>
        </w:r>
        <w:r w:rsidR="005052E8">
          <w:rPr>
            <w:noProof/>
            <w:webHidden/>
          </w:rPr>
          <w:t>21</w:t>
        </w:r>
        <w:r>
          <w:rPr>
            <w:noProof/>
            <w:webHidden/>
          </w:rPr>
          <w:fldChar w:fldCharType="end"/>
        </w:r>
      </w:hyperlink>
    </w:p>
    <w:p w:rsidR="005052E8" w:rsidRDefault="0064088A">
      <w:pPr>
        <w:pStyle w:val="TOC2"/>
        <w:rPr>
          <w:rFonts w:eastAsiaTheme="minorEastAsia"/>
          <w:noProof/>
          <w:lang w:eastAsia="en-AU"/>
        </w:rPr>
      </w:pPr>
      <w:hyperlink w:anchor="_Toc528913534" w:history="1">
        <w:r w:rsidR="005052E8" w:rsidRPr="004C6FAD">
          <w:rPr>
            <w:rStyle w:val="Hyperlink"/>
            <w:noProof/>
          </w:rPr>
          <w:t>13.4</w:t>
        </w:r>
        <w:r w:rsidR="005052E8">
          <w:rPr>
            <w:rFonts w:eastAsiaTheme="minorEastAsia"/>
            <w:noProof/>
            <w:lang w:eastAsia="en-AU"/>
          </w:rPr>
          <w:tab/>
        </w:r>
        <w:r w:rsidR="005052E8" w:rsidRPr="004C6FAD">
          <w:rPr>
            <w:rStyle w:val="Hyperlink"/>
            <w:noProof/>
          </w:rPr>
          <w:t>Freedom of information</w:t>
        </w:r>
        <w:r w:rsidR="005052E8">
          <w:rPr>
            <w:noProof/>
            <w:webHidden/>
          </w:rPr>
          <w:tab/>
        </w:r>
        <w:r>
          <w:rPr>
            <w:noProof/>
            <w:webHidden/>
          </w:rPr>
          <w:fldChar w:fldCharType="begin"/>
        </w:r>
        <w:r w:rsidR="005052E8">
          <w:rPr>
            <w:noProof/>
            <w:webHidden/>
          </w:rPr>
          <w:instrText xml:space="preserve"> PAGEREF _Toc528913534 \h </w:instrText>
        </w:r>
        <w:r>
          <w:rPr>
            <w:noProof/>
            <w:webHidden/>
          </w:rPr>
        </w:r>
        <w:r>
          <w:rPr>
            <w:noProof/>
            <w:webHidden/>
          </w:rPr>
          <w:fldChar w:fldCharType="separate"/>
        </w:r>
        <w:r w:rsidR="005052E8">
          <w:rPr>
            <w:noProof/>
            <w:webHidden/>
          </w:rPr>
          <w:t>22</w:t>
        </w:r>
        <w:r>
          <w:rPr>
            <w:noProof/>
            <w:webHidden/>
          </w:rPr>
          <w:fldChar w:fldCharType="end"/>
        </w:r>
      </w:hyperlink>
    </w:p>
    <w:p w:rsidR="005052E8" w:rsidRDefault="0064088A">
      <w:pPr>
        <w:pStyle w:val="TOC1"/>
        <w:rPr>
          <w:rFonts w:eastAsiaTheme="minorEastAsia"/>
          <w:b w:val="0"/>
          <w:noProof/>
          <w:sz w:val="22"/>
          <w:lang w:eastAsia="en-AU"/>
        </w:rPr>
      </w:pPr>
      <w:hyperlink w:anchor="_Toc528913535" w:history="1">
        <w:r w:rsidR="005052E8" w:rsidRPr="004C6FAD">
          <w:rPr>
            <w:rStyle w:val="Hyperlink"/>
            <w:noProof/>
          </w:rPr>
          <w:t>14.</w:t>
        </w:r>
        <w:r w:rsidR="005052E8">
          <w:rPr>
            <w:rFonts w:eastAsiaTheme="minorEastAsia"/>
            <w:b w:val="0"/>
            <w:noProof/>
            <w:sz w:val="22"/>
            <w:lang w:eastAsia="en-AU"/>
          </w:rPr>
          <w:tab/>
        </w:r>
        <w:r w:rsidR="005052E8" w:rsidRPr="004C6FAD">
          <w:rPr>
            <w:rStyle w:val="Hyperlink"/>
            <w:noProof/>
          </w:rPr>
          <w:t>Glossary</w:t>
        </w:r>
        <w:r w:rsidR="005052E8">
          <w:rPr>
            <w:noProof/>
            <w:webHidden/>
          </w:rPr>
          <w:tab/>
        </w:r>
        <w:r>
          <w:rPr>
            <w:noProof/>
            <w:webHidden/>
          </w:rPr>
          <w:fldChar w:fldCharType="begin"/>
        </w:r>
        <w:r w:rsidR="005052E8">
          <w:rPr>
            <w:noProof/>
            <w:webHidden/>
          </w:rPr>
          <w:instrText xml:space="preserve"> PAGEREF _Toc528913535 \h </w:instrText>
        </w:r>
        <w:r>
          <w:rPr>
            <w:noProof/>
            <w:webHidden/>
          </w:rPr>
        </w:r>
        <w:r>
          <w:rPr>
            <w:noProof/>
            <w:webHidden/>
          </w:rPr>
          <w:fldChar w:fldCharType="separate"/>
        </w:r>
        <w:r w:rsidR="005052E8">
          <w:rPr>
            <w:noProof/>
            <w:webHidden/>
          </w:rPr>
          <w:t>24</w:t>
        </w:r>
        <w:r>
          <w:rPr>
            <w:noProof/>
            <w:webHidden/>
          </w:rPr>
          <w:fldChar w:fldCharType="end"/>
        </w:r>
      </w:hyperlink>
    </w:p>
    <w:p w:rsidR="00934587" w:rsidRDefault="0064088A" w:rsidP="00CC2AA4">
      <w:r>
        <w:fldChar w:fldCharType="end"/>
      </w:r>
    </w:p>
    <w:p w:rsidR="007A25F0" w:rsidRDefault="007A25F0" w:rsidP="007A25F0">
      <w:pPr>
        <w:pStyle w:val="BodyText1"/>
      </w:pPr>
    </w:p>
    <w:p w:rsidR="00BE0F17" w:rsidRDefault="00BE0F17">
      <w:pPr>
        <w:suppressAutoHyphens w:val="0"/>
        <w:spacing w:before="0" w:after="120" w:line="440" w:lineRule="atLeast"/>
      </w:pPr>
      <w:r>
        <w:br w:type="page"/>
      </w:r>
    </w:p>
    <w:p w:rsidR="00EE2B1C" w:rsidRPr="00F40BDA" w:rsidRDefault="00C904E0" w:rsidP="00EE2B1C">
      <w:pPr>
        <w:pStyle w:val="Heading1Numbered"/>
      </w:pPr>
      <w:bookmarkStart w:id="0" w:name="_Toc458420391"/>
      <w:bookmarkStart w:id="1" w:name="_Toc467773950"/>
      <w:bookmarkStart w:id="2" w:name="_Toc528913493"/>
      <w:r w:rsidRPr="00F86545">
        <w:rPr>
          <w:i/>
          <w:color w:val="auto"/>
        </w:rPr>
        <w:lastRenderedPageBreak/>
        <w:t>Saluting Their Service</w:t>
      </w:r>
      <w:r w:rsidR="00BF45D0" w:rsidRPr="00F86545">
        <w:rPr>
          <w:color w:val="auto"/>
        </w:rPr>
        <w:t xml:space="preserve"> Commemorations Program</w:t>
      </w:r>
      <w:r w:rsidR="00EE2B1C" w:rsidRPr="00F86545">
        <w:rPr>
          <w:color w:val="auto"/>
        </w:rPr>
        <w:t xml:space="preserve">: </w:t>
      </w:r>
      <w:r w:rsidR="00BF5ECC">
        <w:rPr>
          <w:color w:val="auto"/>
        </w:rPr>
        <w:t>Major</w:t>
      </w:r>
      <w:r w:rsidRPr="00F86545">
        <w:rPr>
          <w:color w:val="auto"/>
        </w:rPr>
        <w:t xml:space="preserve"> Commemorative Grants</w:t>
      </w:r>
      <w:r w:rsidR="00964FCD" w:rsidRPr="00F86545">
        <w:rPr>
          <w:color w:val="auto"/>
        </w:rPr>
        <w:t xml:space="preserve"> </w:t>
      </w:r>
      <w:r w:rsidR="008114FB">
        <w:rPr>
          <w:color w:val="auto"/>
        </w:rPr>
        <w:t xml:space="preserve">Opportunity </w:t>
      </w:r>
      <w:r w:rsidR="00EE2B1C" w:rsidRPr="00F40BDA">
        <w:t>Process</w:t>
      </w:r>
      <w:r w:rsidR="00EE2B1C">
        <w:t>es</w:t>
      </w:r>
      <w:bookmarkEnd w:id="0"/>
      <w:bookmarkEnd w:id="1"/>
      <w:bookmarkEnd w:id="2"/>
    </w:p>
    <w:p w:rsidR="00EE2B1C" w:rsidRPr="00964FCD" w:rsidRDefault="00EE2B1C" w:rsidP="008114FB">
      <w:pPr>
        <w:pBdr>
          <w:top w:val="single" w:sz="4" w:space="1" w:color="auto"/>
          <w:left w:val="single" w:sz="4" w:space="4" w:color="auto"/>
          <w:bottom w:val="single" w:sz="4" w:space="1" w:color="auto"/>
          <w:right w:val="single" w:sz="4" w:space="4" w:color="auto"/>
        </w:pBdr>
        <w:spacing w:after="0"/>
        <w:jc w:val="center"/>
      </w:pPr>
      <w:r w:rsidRPr="00EE2B1C">
        <w:rPr>
          <w:b/>
        </w:rPr>
        <w:t>The Program is designed to achieve Australian</w:t>
      </w:r>
      <w:r w:rsidRPr="00F40BDA">
        <w:rPr>
          <w:b/>
        </w:rPr>
        <w:t xml:space="preserve"> Government </w:t>
      </w:r>
      <w:r>
        <w:rPr>
          <w:b/>
        </w:rPr>
        <w:t>objectives</w:t>
      </w:r>
      <w:r w:rsidRPr="00F40BDA">
        <w:rPr>
          <w:b/>
        </w:rPr>
        <w:t xml:space="preserve"> </w:t>
      </w:r>
      <w:r w:rsidR="00964FCD">
        <w:rPr>
          <w:b/>
        </w:rPr>
        <w:br/>
      </w:r>
      <w:r w:rsidR="00BF45D0">
        <w:t xml:space="preserve">This grant opportunity is </w:t>
      </w:r>
      <w:r w:rsidR="00FD29BC">
        <w:t>a category</w:t>
      </w:r>
      <w:r w:rsidR="00BF45D0">
        <w:t xml:space="preserve"> of t</w:t>
      </w:r>
      <w:r w:rsidR="00964FCD">
        <w:t>he</w:t>
      </w:r>
      <w:r w:rsidR="00BF45D0">
        <w:t xml:space="preserve"> </w:t>
      </w:r>
      <w:r w:rsidR="00BF45D0" w:rsidRPr="00F86545">
        <w:rPr>
          <w:i/>
        </w:rPr>
        <w:t>Saluting Their Service</w:t>
      </w:r>
      <w:r w:rsidR="00BF45D0">
        <w:t xml:space="preserve"> program</w:t>
      </w:r>
      <w:r w:rsidR="00964FCD">
        <w:t xml:space="preserve"> </w:t>
      </w:r>
      <w:r w:rsidR="00BF45D0">
        <w:t xml:space="preserve">which </w:t>
      </w:r>
      <w:r w:rsidR="00A64D79">
        <w:t>supports the Australian Gove</w:t>
      </w:r>
      <w:r w:rsidR="008610B7">
        <w:t>rnment’s commitment to acknowledging and commemorating those who served Australia and its allies in wars, conflicts and peace operations.</w:t>
      </w:r>
      <w:r w:rsidR="008114FB">
        <w:t xml:space="preserve"> </w:t>
      </w:r>
      <w:r w:rsidR="00484478">
        <w:t>The Department of Veterans’ Affairs (</w:t>
      </w:r>
      <w:r w:rsidR="008114FB">
        <w:t>DVA</w:t>
      </w:r>
      <w:r w:rsidR="00484478">
        <w:t>)</w:t>
      </w:r>
      <w:r w:rsidR="008114FB">
        <w:rPr>
          <w:b/>
          <w:color w:val="745B00" w:themeColor="accent3" w:themeShade="80"/>
        </w:rPr>
        <w:t xml:space="preserve"> </w:t>
      </w:r>
      <w:r w:rsidR="008114FB">
        <w:t xml:space="preserve">works with stakeholders to plan and design the grant program according to the </w:t>
      </w:r>
      <w:hyperlink r:id="rId12" w:history="1">
        <w:r w:rsidR="008114FB">
          <w:rPr>
            <w:rStyle w:val="Hyperlink"/>
            <w:i/>
          </w:rPr>
          <w:t>Commonwealth Grants Rules and Guidelines</w:t>
        </w:r>
        <w:r w:rsidR="008114FB">
          <w:rPr>
            <w:rStyle w:val="Hyperlink"/>
          </w:rPr>
          <w:t>.</w:t>
        </w:r>
      </w:hyperlink>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EE2B1C" w:rsidRDefault="00B81574" w:rsidP="00EE2B1C">
      <w:pPr>
        <w:pBdr>
          <w:top w:val="single" w:sz="2" w:space="1" w:color="auto"/>
          <w:left w:val="single" w:sz="2" w:space="4" w:color="auto"/>
          <w:bottom w:val="single" w:sz="2" w:space="1" w:color="auto"/>
          <w:right w:val="single" w:sz="2" w:space="4" w:color="auto"/>
        </w:pBdr>
        <w:spacing w:after="0"/>
        <w:jc w:val="center"/>
      </w:pPr>
      <w:r>
        <w:t>The Community Grants Hub (the Hub)</w:t>
      </w:r>
      <w:r w:rsidR="00EE2B1C">
        <w:t xml:space="preserve"> </w:t>
      </w:r>
      <w:proofErr w:type="gramStart"/>
      <w:r w:rsidR="00EE2B1C">
        <w:t>publish</w:t>
      </w:r>
      <w:proofErr w:type="gramEnd"/>
      <w:r w:rsidR="00EE2B1C">
        <w:t xml:space="preserve"> t</w:t>
      </w:r>
      <w:r w:rsidR="00EE2B1C" w:rsidRPr="00F40BDA">
        <w:t xml:space="preserve">he grant guidelines </w:t>
      </w:r>
      <w:r w:rsidR="009C44A6">
        <w:t xml:space="preserve">and advertise on </w:t>
      </w:r>
      <w:hyperlink r:id="rId13" w:history="1">
        <w:proofErr w:type="spellStart"/>
        <w:r w:rsidR="009C44A6" w:rsidRPr="00205006">
          <w:rPr>
            <w:rStyle w:val="Hyperlink"/>
            <w:rFonts w:cstheme="minorBidi"/>
          </w:rPr>
          <w:t>GrantConnect</w:t>
        </w:r>
        <w:proofErr w:type="spellEnd"/>
      </w:hyperlink>
      <w:r w:rsidR="009C44A6">
        <w:t xml:space="preserve"> and the </w:t>
      </w:r>
      <w:hyperlink r:id="rId14" w:history="1">
        <w:r w:rsidR="009C44A6" w:rsidRPr="00205006">
          <w:rPr>
            <w:rStyle w:val="Hyperlink"/>
            <w:rFonts w:cstheme="minorBidi"/>
          </w:rPr>
          <w:t>Community Grants Hub</w:t>
        </w:r>
      </w:hyperlink>
      <w:r w:rsidR="0095419B">
        <w:t xml:space="preserve"> websites</w:t>
      </w:r>
      <w:r w:rsidR="009C44A6">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9C44A6" w:rsidRPr="009C44A6" w:rsidRDefault="009C44A6" w:rsidP="009C44A6">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5" w:history="1">
        <w:proofErr w:type="spellStart"/>
        <w:r w:rsidR="00205006" w:rsidRPr="00B51085">
          <w:rPr>
            <w:rStyle w:val="Hyperlink"/>
            <w:rFonts w:cstheme="minorBidi"/>
          </w:rPr>
          <w:t>GrantConnect</w:t>
        </w:r>
        <w:proofErr w:type="spellEnd"/>
      </w:hyperlink>
      <w:r w:rsidRPr="004B61BC">
        <w:t>, the Australian Government’s whole-of-government grants information system</w:t>
      </w:r>
      <w:r>
        <w:t xml:space="preserve">, and the </w:t>
      </w:r>
      <w:hyperlink r:id="rId16" w:history="1">
        <w:r w:rsidRPr="00B51085">
          <w:rPr>
            <w:rStyle w:val="Hyperlink"/>
            <w:rFonts w:cstheme="minorBidi"/>
          </w:rPr>
          <w:t>Hub</w:t>
        </w:r>
      </w:hyperlink>
      <w:r>
        <w:t xml:space="preserve"> website</w:t>
      </w:r>
      <w:r w:rsidRPr="004B61BC">
        <w:t xml:space="preserve">. Note: Any addenda for this grant opportunity will be published on </w:t>
      </w:r>
      <w:hyperlink r:id="rId17" w:history="1">
        <w:proofErr w:type="spellStart"/>
        <w:r w:rsidRPr="00B51085">
          <w:rPr>
            <w:rStyle w:val="Hyperlink"/>
            <w:rFonts w:cstheme="minorBidi"/>
          </w:rPr>
          <w:t>GrantConnect</w:t>
        </w:r>
        <w:proofErr w:type="spellEnd"/>
      </w:hyperlink>
      <w:r w:rsidRPr="004B61BC">
        <w:t>, and by registering on this website you will be automatic</w:t>
      </w:r>
      <w:r>
        <w:t>ally notified of any changes.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8114FB" w:rsidP="00EE2B1C">
      <w:pPr>
        <w:pBdr>
          <w:top w:val="single" w:sz="2" w:space="1" w:color="auto"/>
          <w:left w:val="single" w:sz="2" w:space="4" w:color="auto"/>
          <w:bottom w:val="single" w:sz="2" w:space="1" w:color="auto"/>
          <w:right w:val="single" w:sz="2" w:space="4" w:color="auto"/>
        </w:pBdr>
        <w:spacing w:after="0"/>
        <w:jc w:val="center"/>
        <w:rPr>
          <w:bCs/>
        </w:rPr>
      </w:pPr>
      <w:r>
        <w:rPr>
          <w:b/>
        </w:rPr>
        <w:t>The Hub</w:t>
      </w:r>
      <w:r w:rsidR="00EE2B1C">
        <w:rPr>
          <w:b/>
        </w:rPr>
        <w:t xml:space="preserve"> assess</w:t>
      </w:r>
      <w:r w:rsidR="005A00FA">
        <w:rPr>
          <w:b/>
        </w:rPr>
        <w:t>es</w:t>
      </w:r>
      <w:r w:rsidR="00EE2B1C">
        <w:rPr>
          <w:b/>
        </w:rPr>
        <w:t xml:space="preserve"> all </w:t>
      </w:r>
      <w:r w:rsidR="00EE2B1C" w:rsidRPr="00F40BDA">
        <w:rPr>
          <w:b/>
        </w:rPr>
        <w:t>grant application</w:t>
      </w:r>
      <w:r w:rsidR="00EE2B1C">
        <w:rPr>
          <w:b/>
        </w:rPr>
        <w:t>s</w:t>
      </w:r>
    </w:p>
    <w:p w:rsidR="009C44A6" w:rsidRDefault="00B81574" w:rsidP="009C44A6">
      <w:pPr>
        <w:pBdr>
          <w:top w:val="single" w:sz="2" w:space="1" w:color="auto"/>
          <w:left w:val="single" w:sz="2" w:space="4" w:color="auto"/>
          <w:bottom w:val="single" w:sz="2" w:space="1" w:color="auto"/>
          <w:right w:val="single" w:sz="2" w:space="4" w:color="auto"/>
        </w:pBdr>
        <w:spacing w:after="0"/>
        <w:jc w:val="center"/>
      </w:pPr>
      <w:r>
        <w:t xml:space="preserve">The Hub </w:t>
      </w:r>
      <w:r w:rsidR="00CA4C3E">
        <w:t xml:space="preserve">will </w:t>
      </w:r>
      <w:r w:rsidR="009C44A6">
        <w:t xml:space="preserve">assess applications against eligibility criteria and </w:t>
      </w:r>
      <w:r w:rsidR="00433ACA">
        <w:t xml:space="preserve">will </w:t>
      </w:r>
      <w:r w:rsidR="009C44A6">
        <w:t xml:space="preserve">notify you if you are not eligible. </w:t>
      </w:r>
      <w:r w:rsidR="00CA4C3E">
        <w:t xml:space="preserve">If eligible, the </w:t>
      </w:r>
      <w:r w:rsidR="00205006">
        <w:t>Hub</w:t>
      </w:r>
      <w:r w:rsidR="00CA4C3E">
        <w:t xml:space="preserve"> will</w:t>
      </w:r>
      <w:r w:rsidR="00205006">
        <w:t xml:space="preserve"> </w:t>
      </w:r>
      <w:r w:rsidR="009C44A6">
        <w:t>then assess</w:t>
      </w:r>
      <w:r w:rsidR="005A00FA">
        <w:t>es</w:t>
      </w:r>
      <w:r w:rsidR="009C44A6">
        <w:t xml:space="preserve"> your application taking into account the assessment </w:t>
      </w:r>
      <w:r w:rsidR="00433ACA">
        <w:t>criteria</w:t>
      </w:r>
      <w:r w:rsidR="009C44A6">
        <w:t xml:space="preserve"> including an overall consideration of value for money</w:t>
      </w:r>
      <w:r w:rsidR="00CA4C3E">
        <w:t xml:space="preserve"> and compare it to other applications</w:t>
      </w:r>
      <w:r w:rsidR="009C44A6">
        <w:t xml:space="preserve">. </w:t>
      </w:r>
    </w:p>
    <w:p w:rsidR="00EE2B1C" w:rsidRPr="00F40BDA" w:rsidRDefault="00EE2B1C" w:rsidP="00557422">
      <w:pPr>
        <w:spacing w:after="0"/>
        <w:jc w:val="center"/>
        <w:rPr>
          <w:rFonts w:ascii="Wingdings" w:hAnsi="Wingdings"/>
          <w:sz w:val="20"/>
          <w:szCs w:val="20"/>
        </w:rPr>
      </w:pPr>
      <w:r w:rsidRPr="00F40BDA">
        <w:rPr>
          <w:rFonts w:ascii="Wingdings" w:hAnsi="Wingdings"/>
          <w:sz w:val="20"/>
          <w:szCs w:val="20"/>
        </w:rPr>
        <w:t></w:t>
      </w:r>
    </w:p>
    <w:p w:rsidR="00EE2B1C" w:rsidRDefault="008114FB" w:rsidP="00EE2B1C">
      <w:pPr>
        <w:pBdr>
          <w:top w:val="single" w:sz="2" w:space="1" w:color="auto"/>
          <w:left w:val="single" w:sz="2" w:space="4" w:color="auto"/>
          <w:bottom w:val="single" w:sz="2" w:space="1" w:color="auto"/>
          <w:right w:val="single" w:sz="2" w:space="4" w:color="auto"/>
        </w:pBdr>
        <w:spacing w:after="0"/>
        <w:jc w:val="center"/>
        <w:rPr>
          <w:b/>
        </w:rPr>
      </w:pPr>
      <w:r>
        <w:rPr>
          <w:b/>
        </w:rPr>
        <w:t>DVA</w:t>
      </w:r>
      <w:r w:rsidR="00EE2B1C">
        <w:rPr>
          <w:b/>
        </w:rPr>
        <w:t xml:space="preserve"> make grant recommendations</w:t>
      </w:r>
    </w:p>
    <w:p w:rsidR="00205006" w:rsidRPr="00A03DF3" w:rsidRDefault="00205006" w:rsidP="00205006">
      <w:pPr>
        <w:pBdr>
          <w:top w:val="single" w:sz="2" w:space="1" w:color="auto"/>
          <w:left w:val="single" w:sz="2" w:space="4" w:color="auto"/>
          <w:bottom w:val="single" w:sz="2" w:space="1" w:color="auto"/>
          <w:right w:val="single" w:sz="2" w:space="4" w:color="auto"/>
        </w:pBdr>
        <w:spacing w:after="0"/>
        <w:jc w:val="center"/>
      </w:pPr>
      <w:r>
        <w:t>An expert panel, consisting of members from the Commemorati</w:t>
      </w:r>
      <w:r w:rsidR="00833BE0">
        <w:t>ons</w:t>
      </w:r>
      <w:r>
        <w:t xml:space="preserve"> Grants Advisory Committee (CGAC)</w:t>
      </w:r>
      <w:r>
        <w:rPr>
          <w:rStyle w:val="FootnoteReference"/>
        </w:rPr>
        <w:footnoteReference w:id="1"/>
      </w:r>
      <w:r>
        <w:t xml:space="preserve"> will</w:t>
      </w:r>
      <w:r w:rsidRPr="00123D11">
        <w:t xml:space="preserve"> provide advice to the </w:t>
      </w:r>
      <w:r>
        <w:t>Minister of Veterans’ Affairs on the merits of each application.</w:t>
      </w:r>
    </w:p>
    <w:p w:rsidR="00EE2B1C" w:rsidRDefault="00EE2B1C" w:rsidP="00EE2B1C">
      <w:pPr>
        <w:spacing w:after="0"/>
        <w:jc w:val="center"/>
        <w:rPr>
          <w:rFonts w:ascii="Wingdings" w:hAnsi="Wingdings"/>
          <w:sz w:val="20"/>
          <w:szCs w:val="20"/>
        </w:rPr>
      </w:pPr>
      <w:r w:rsidRPr="00F40BDA">
        <w:rPr>
          <w:rFonts w:ascii="Wingdings" w:hAnsi="Wingdings"/>
          <w:sz w:val="20"/>
          <w:szCs w:val="20"/>
        </w:rPr>
        <w:t></w:t>
      </w:r>
    </w:p>
    <w:p w:rsidR="00205006" w:rsidRPr="00F40BDA" w:rsidRDefault="00205006" w:rsidP="00EE2B1C">
      <w:pPr>
        <w:spacing w:after="0"/>
        <w:jc w:val="center"/>
        <w:rPr>
          <w:rFonts w:ascii="Wingdings" w:hAnsi="Wingdings"/>
          <w:sz w:val="20"/>
          <w:szCs w:val="20"/>
        </w:rPr>
      </w:pP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205006" w:rsidRPr="00123D11" w:rsidRDefault="00205006" w:rsidP="00205006">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Minister for Veterans’ Affairs decides </w:t>
      </w:r>
      <w:r w:rsidRPr="00123D11">
        <w:t>which gr</w:t>
      </w:r>
      <w:r>
        <w:t>ant applications are successful.</w:t>
      </w:r>
    </w:p>
    <w:p w:rsidR="00EE2B1C" w:rsidRPr="00F40BDA" w:rsidRDefault="00EE2B1C" w:rsidP="00046FCA">
      <w:pPr>
        <w:spacing w:after="0"/>
        <w:jc w:val="center"/>
        <w:rPr>
          <w:rFonts w:ascii="Wingdings" w:hAnsi="Wingdings"/>
          <w:sz w:val="20"/>
          <w:szCs w:val="20"/>
        </w:rPr>
      </w:pPr>
      <w:r w:rsidRPr="00F40BDA">
        <w:rPr>
          <w:rFonts w:ascii="Wingdings" w:hAnsi="Wingdings"/>
          <w:sz w:val="20"/>
          <w:szCs w:val="20"/>
        </w:rPr>
        <w:t></w:t>
      </w:r>
    </w:p>
    <w:p w:rsidR="00EE2B1C" w:rsidRDefault="00706BFD" w:rsidP="00EE2B1C">
      <w:pPr>
        <w:pBdr>
          <w:top w:val="single" w:sz="2" w:space="1" w:color="auto"/>
          <w:left w:val="single" w:sz="2" w:space="4" w:color="auto"/>
          <w:bottom w:val="single" w:sz="2" w:space="1" w:color="auto"/>
          <w:right w:val="single" w:sz="2" w:space="4" w:color="auto"/>
        </w:pBdr>
        <w:spacing w:after="0"/>
        <w:jc w:val="center"/>
        <w:rPr>
          <w:b/>
        </w:rPr>
      </w:pPr>
      <w:r>
        <w:rPr>
          <w:b/>
        </w:rPr>
        <w:t>The Hub will</w:t>
      </w:r>
      <w:r w:rsidR="00EE2B1C">
        <w:rPr>
          <w:b/>
        </w:rPr>
        <w:t xml:space="preserve"> notify you of the </w:t>
      </w:r>
      <w:r w:rsidR="00EE2B1C" w:rsidRPr="00F40BDA">
        <w:rPr>
          <w:b/>
        </w:rPr>
        <w:t>outcome</w:t>
      </w:r>
      <w:r w:rsidR="006A228F">
        <w:rPr>
          <w:b/>
        </w:rPr>
        <w:t xml:space="preserve"> </w:t>
      </w:r>
    </w:p>
    <w:p w:rsidR="000C75E9" w:rsidRDefault="00B81574" w:rsidP="000C75E9">
      <w:pPr>
        <w:pBdr>
          <w:top w:val="single" w:sz="2" w:space="1" w:color="auto"/>
          <w:left w:val="single" w:sz="2" w:space="4" w:color="auto"/>
          <w:bottom w:val="single" w:sz="2" w:space="1" w:color="auto"/>
          <w:right w:val="single" w:sz="2" w:space="4" w:color="auto"/>
        </w:pBdr>
        <w:spacing w:after="0"/>
        <w:jc w:val="center"/>
      </w:pPr>
      <w:r>
        <w:t xml:space="preserve">The Hub will </w:t>
      </w:r>
      <w:r w:rsidR="000C75E9">
        <w:t xml:space="preserve">advise you of the outcome of your application in writing. </w:t>
      </w:r>
      <w:r w:rsidR="00205006">
        <w:t xml:space="preserve">The Hub </w:t>
      </w:r>
      <w:r w:rsidR="000C75E9">
        <w:t>may not notify un</w:t>
      </w:r>
      <w:r w:rsidR="000C75E9" w:rsidRPr="00F40BDA">
        <w:t xml:space="preserve">successful applicants until grant agreements </w:t>
      </w:r>
      <w:r w:rsidR="000C75E9">
        <w:t xml:space="preserve">have been executed </w:t>
      </w:r>
      <w:r w:rsidR="000C75E9"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446E36" w:rsidRDefault="00BE6AB1" w:rsidP="00BE6AB1">
      <w:pPr>
        <w:pBdr>
          <w:top w:val="single" w:sz="2" w:space="1" w:color="auto"/>
          <w:left w:val="single" w:sz="2" w:space="4" w:color="auto"/>
          <w:bottom w:val="single" w:sz="2" w:space="1" w:color="auto"/>
          <w:right w:val="single" w:sz="2" w:space="4" w:color="auto"/>
        </w:pBdr>
        <w:spacing w:after="0"/>
        <w:jc w:val="center"/>
        <w:rPr>
          <w:b/>
        </w:rPr>
      </w:pPr>
      <w:r>
        <w:rPr>
          <w:rStyle w:val="highlightedtextChar"/>
          <w:color w:val="auto"/>
        </w:rPr>
        <w:t>The Hub will</w:t>
      </w:r>
      <w:r w:rsidR="00EE2B1C" w:rsidRPr="00446E36">
        <w:rPr>
          <w:rStyle w:val="highlightedtextChar"/>
          <w:color w:val="auto"/>
        </w:rPr>
        <w:t xml:space="preserve"> enter into a grant agreement </w:t>
      </w:r>
    </w:p>
    <w:p w:rsidR="000C75E9" w:rsidRDefault="00205006" w:rsidP="000C75E9">
      <w:pPr>
        <w:pBdr>
          <w:top w:val="single" w:sz="2" w:space="1" w:color="auto"/>
          <w:left w:val="single" w:sz="2" w:space="4" w:color="auto"/>
          <w:bottom w:val="single" w:sz="2" w:space="1" w:color="auto"/>
          <w:right w:val="single" w:sz="2" w:space="4" w:color="auto"/>
        </w:pBdr>
        <w:spacing w:after="0"/>
        <w:jc w:val="center"/>
        <w:rPr>
          <w:b/>
          <w:bCs/>
        </w:rPr>
      </w:pPr>
      <w:r>
        <w:t>The Hub, on behalf of DVA</w:t>
      </w:r>
      <w:r w:rsidR="00B52E35">
        <w:t xml:space="preserve"> </w:t>
      </w:r>
      <w:r w:rsidR="000C75E9">
        <w:t xml:space="preserve">will enter into a grant agreement or letter of agreement with successful applicants. </w:t>
      </w:r>
      <w:r w:rsidR="000C75E9" w:rsidRPr="00F40BDA">
        <w:t>The type of grant agreement is based on the nature of the grant and</w:t>
      </w:r>
      <w:r w:rsidR="000C75E9">
        <w:t xml:space="preserve"> is</w:t>
      </w:r>
      <w:r w:rsidR="000C75E9" w:rsidRPr="00F40BDA">
        <w:t xml:space="preserve"> proportional to the risks involved.</w:t>
      </w:r>
      <w:r w:rsidR="000C75E9">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0C75E9" w:rsidP="000C75E9">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w:t>
      </w:r>
      <w:r w:rsidRPr="00446E36">
        <w:rPr>
          <w:bCs/>
        </w:rPr>
        <w:t xml:space="preserve">set out in your </w:t>
      </w:r>
      <w:r w:rsidRPr="006510A7">
        <w:rPr>
          <w:rStyle w:val="highlightedtextChar"/>
          <w:b w:val="0"/>
          <w:color w:val="auto"/>
        </w:rPr>
        <w:t>grant agreement</w:t>
      </w:r>
      <w:r w:rsidRPr="00446E36">
        <w:rPr>
          <w:bCs/>
        </w:rPr>
        <w:t xml:space="preserve">. </w:t>
      </w:r>
      <w:r w:rsidR="005A00FA">
        <w:rPr>
          <w:bCs/>
        </w:rPr>
        <w:t xml:space="preserve">The Hub </w:t>
      </w:r>
      <w:r w:rsidRPr="00F40BDA">
        <w:rPr>
          <w:bCs/>
        </w:rPr>
        <w:t>manage</w:t>
      </w:r>
      <w:r w:rsidR="00433ACA">
        <w:rPr>
          <w:bCs/>
        </w:rPr>
        <w:t>s</w:t>
      </w:r>
      <w:r w:rsidRPr="00F40BDA">
        <w:rPr>
          <w:bCs/>
        </w:rPr>
        <w:t xml:space="preserve"> the grant</w:t>
      </w:r>
      <w:r>
        <w:rPr>
          <w:bCs/>
        </w:rPr>
        <w:t xml:space="preserve"> by working with you, monitoring your progress and </w:t>
      </w:r>
      <w:r w:rsidRPr="00F40BDA">
        <w:rPr>
          <w:bCs/>
        </w:rPr>
        <w:t>making payments.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Pr="00046FCA"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046FCA">
        <w:rPr>
          <w:b/>
          <w:i/>
        </w:rPr>
        <w:t xml:space="preserve">Saluting Their Service </w:t>
      </w:r>
      <w:r w:rsidR="00046FCA">
        <w:rPr>
          <w:b/>
        </w:rPr>
        <w:t>commemorations program</w:t>
      </w:r>
    </w:p>
    <w:p w:rsidR="00EE2B1C" w:rsidRDefault="00B52E35" w:rsidP="00EE2B1C">
      <w:pPr>
        <w:pBdr>
          <w:top w:val="single" w:sz="2" w:space="1" w:color="auto"/>
          <w:left w:val="single" w:sz="2" w:space="4" w:color="auto"/>
          <w:bottom w:val="single" w:sz="2" w:space="1" w:color="auto"/>
          <w:right w:val="single" w:sz="2" w:space="4" w:color="auto"/>
        </w:pBdr>
        <w:spacing w:after="0"/>
        <w:jc w:val="center"/>
      </w:pPr>
      <w:r>
        <w:t xml:space="preserve">DVA will </w:t>
      </w:r>
      <w:r w:rsidR="00EE2B1C">
        <w:t>evaluate t</w:t>
      </w:r>
      <w:r w:rsidR="00EE2B1C" w:rsidRPr="00F40BDA">
        <w:t xml:space="preserve">he specific grant </w:t>
      </w:r>
      <w:r w:rsidR="00EE2B1C">
        <w:t>activity</w:t>
      </w:r>
      <w:r w:rsidR="00446E36">
        <w:t xml:space="preserve"> and </w:t>
      </w:r>
      <w:r w:rsidR="00446E36" w:rsidRPr="00F86545">
        <w:rPr>
          <w:i/>
        </w:rPr>
        <w:t>Saluting Their Service</w:t>
      </w:r>
      <w:r w:rsidR="00046FCA">
        <w:t xml:space="preserve"> program </w:t>
      </w:r>
      <w:r w:rsidR="00EE2B1C">
        <w:t>as a whole</w:t>
      </w:r>
      <w:r w:rsidR="00EE2B1C" w:rsidRPr="00F40BDA">
        <w:t xml:space="preserve">. </w:t>
      </w:r>
      <w:r w:rsidR="00EE2B1C">
        <w:t xml:space="preserve">We </w:t>
      </w:r>
      <w:r w:rsidR="00EE2B1C" w:rsidRPr="00F40BDA">
        <w:t xml:space="preserve">base </w:t>
      </w:r>
      <w:r w:rsidR="00EE2B1C">
        <w:t xml:space="preserve">this on </w:t>
      </w:r>
      <w:r w:rsidR="00EE2B1C" w:rsidRPr="00F40BDA">
        <w:t xml:space="preserve">information </w:t>
      </w:r>
      <w:r w:rsidR="00EE2B1C">
        <w:t>you provide to us and that we collect from various sources</w:t>
      </w:r>
      <w:r w:rsidR="00EE2B1C" w:rsidRPr="00F40BDA">
        <w:t xml:space="preserve">. </w:t>
      </w:r>
    </w:p>
    <w:p w:rsidR="001A0777" w:rsidRPr="00367A67" w:rsidRDefault="001A0777" w:rsidP="00056305">
      <w:pPr>
        <w:pStyle w:val="Heading2Numbered"/>
      </w:pPr>
      <w:bookmarkStart w:id="3" w:name="_Toc484677032"/>
      <w:bookmarkStart w:id="4" w:name="_Toc528913494"/>
      <w:bookmarkStart w:id="5" w:name="_Toc467773951"/>
      <w:r w:rsidRPr="00367A67">
        <w:t>Role of the Community Grants Hub</w:t>
      </w:r>
      <w:bookmarkEnd w:id="3"/>
      <w:bookmarkEnd w:id="4"/>
    </w:p>
    <w:p w:rsidR="001A0777" w:rsidRPr="00367A67" w:rsidRDefault="00D268E6" w:rsidP="001A0777">
      <w:r w:rsidRPr="00367A67">
        <w:t xml:space="preserve">This grant opportunity will be administered by the Hub on behalf of the </w:t>
      </w:r>
      <w:r w:rsidR="00446E36" w:rsidRPr="00446E36">
        <w:t>Department of Veterans’ Affairs</w:t>
      </w:r>
      <w:r w:rsidR="00F20F3B">
        <w:t xml:space="preserve"> (DVA)</w:t>
      </w:r>
      <w:r w:rsidR="00446E36" w:rsidRPr="00446E36">
        <w:rPr>
          <w:rStyle w:val="highlightedtextChar"/>
          <w:color w:val="auto"/>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a Whole</w:t>
      </w:r>
      <w:r w:rsidR="00B35174">
        <w:rPr>
          <w:rStyle w:val="highlightedtextChar"/>
          <w:b w:val="0"/>
          <w:color w:val="auto"/>
        </w:rPr>
        <w:t>-</w:t>
      </w:r>
      <w:r w:rsidR="00186E42" w:rsidRPr="00367A67">
        <w:rPr>
          <w:rStyle w:val="highlightedtextChar"/>
          <w:b w:val="0"/>
          <w:color w:val="auto"/>
        </w:rPr>
        <w:t>of</w:t>
      </w:r>
      <w:r w:rsidR="00B35174">
        <w:rPr>
          <w:rStyle w:val="highlightedtextChar"/>
          <w:b w:val="0"/>
          <w:color w:val="auto"/>
        </w:rPr>
        <w:t>-</w:t>
      </w:r>
      <w:r w:rsidR="00186E42" w:rsidRPr="00367A67">
        <w:rPr>
          <w:rStyle w:val="highlightedtextChar"/>
          <w:b w:val="0"/>
          <w:color w:val="auto"/>
        </w:rPr>
        <w:t>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6" w:name="_Toc528913495"/>
      <w:r w:rsidRPr="00367A67">
        <w:t>1.2</w:t>
      </w:r>
      <w:r w:rsidRPr="00367A67">
        <w:tab/>
      </w:r>
      <w:r w:rsidR="00045933" w:rsidRPr="00367A67">
        <w:t>About the grant program</w:t>
      </w:r>
      <w:bookmarkEnd w:id="5"/>
      <w:bookmarkEnd w:id="6"/>
    </w:p>
    <w:p w:rsidR="00205006" w:rsidRDefault="00205006" w:rsidP="00205006">
      <w:pPr>
        <w:pStyle w:val="highlightedtext"/>
        <w:pBdr>
          <w:top w:val="none" w:sz="0" w:space="0" w:color="auto"/>
          <w:left w:val="none" w:sz="0" w:space="0" w:color="auto"/>
          <w:bottom w:val="none" w:sz="0" w:space="0" w:color="auto"/>
          <w:right w:val="none" w:sz="0" w:space="0" w:color="auto"/>
        </w:pBdr>
        <w:jc w:val="left"/>
        <w:rPr>
          <w:b w:val="0"/>
          <w:color w:val="auto"/>
        </w:rPr>
      </w:pPr>
      <w:r w:rsidRPr="00D42F2E">
        <w:rPr>
          <w:b w:val="0"/>
          <w:color w:val="auto"/>
        </w:rPr>
        <w:t xml:space="preserve">The </w:t>
      </w:r>
      <w:r w:rsidRPr="00836F39">
        <w:rPr>
          <w:b w:val="0"/>
          <w:i/>
          <w:color w:val="auto"/>
        </w:rPr>
        <w:t>Saluting Their Service</w:t>
      </w:r>
      <w:r w:rsidRPr="00836F39">
        <w:rPr>
          <w:b w:val="0"/>
          <w:color w:val="auto"/>
        </w:rPr>
        <w:t xml:space="preserve"> Commemorations Program (the Program) is desig</w:t>
      </w:r>
      <w:r w:rsidRPr="00D42F2E">
        <w:rPr>
          <w:b w:val="0"/>
          <w:color w:val="auto"/>
        </w:rPr>
        <w:t>ned to preserve Australia’s wartime heritage and to involve people throughout the nation in a wide range of projects and activities that highlight the service and sacrifice of Australia’s service</w:t>
      </w:r>
      <w:r w:rsidR="00452A68">
        <w:rPr>
          <w:b w:val="0"/>
          <w:color w:val="auto"/>
        </w:rPr>
        <w:t xml:space="preserve"> </w:t>
      </w:r>
      <w:r w:rsidR="00367346">
        <w:rPr>
          <w:b w:val="0"/>
          <w:color w:val="auto"/>
        </w:rPr>
        <w:t xml:space="preserve">personnel </w:t>
      </w:r>
      <w:r w:rsidRPr="00D42F2E">
        <w:rPr>
          <w:b w:val="0"/>
          <w:color w:val="auto"/>
        </w:rPr>
        <w:t>in wars, conflicts and peace operations, and promote appreciation and understanding of the role that those who served have played in shaping the nation.</w:t>
      </w:r>
    </w:p>
    <w:p w:rsidR="00045933" w:rsidRPr="00045933" w:rsidRDefault="00045933" w:rsidP="00B7482C">
      <w:pPr>
        <w:pStyle w:val="highlightedtext"/>
        <w:pBdr>
          <w:top w:val="none" w:sz="0" w:space="0" w:color="auto"/>
          <w:left w:val="none" w:sz="0" w:space="0" w:color="auto"/>
          <w:bottom w:val="none" w:sz="0" w:space="0" w:color="auto"/>
          <w:right w:val="none" w:sz="0" w:space="0" w:color="auto"/>
        </w:pBdr>
        <w:jc w:val="left"/>
      </w:pPr>
      <w:r w:rsidRPr="00B7482C">
        <w:rPr>
          <w:b w:val="0"/>
          <w:color w:val="auto"/>
        </w:rPr>
        <w:lastRenderedPageBreak/>
        <w:t>The o</w:t>
      </w:r>
      <w:r w:rsidR="0082630A" w:rsidRPr="00B7482C">
        <w:rPr>
          <w:b w:val="0"/>
          <w:color w:val="auto"/>
        </w:rPr>
        <w:t xml:space="preserve">bjectives of the </w:t>
      </w:r>
      <w:r w:rsidR="00706BFD" w:rsidRPr="00B7482C">
        <w:rPr>
          <w:b w:val="0"/>
          <w:color w:val="auto"/>
        </w:rPr>
        <w:t xml:space="preserve">Program </w:t>
      </w:r>
      <w:r w:rsidR="0082630A" w:rsidRPr="00B7482C">
        <w:rPr>
          <w:b w:val="0"/>
          <w:color w:val="auto"/>
        </w:rPr>
        <w:t>are to acknowledge and commemorate those who served Australia and its allies in wars, conflicts and peace operations.</w:t>
      </w:r>
      <w:r w:rsidR="0073469E" w:rsidRPr="0073469E">
        <w:rPr>
          <w:b w:val="0"/>
          <w:color w:val="auto"/>
        </w:rPr>
        <w:t xml:space="preserve"> </w:t>
      </w:r>
      <w:r w:rsidR="0073469E">
        <w:rPr>
          <w:b w:val="0"/>
          <w:color w:val="auto"/>
        </w:rPr>
        <w:t>The Major Commemorative Grants category of the program is available to fund commemorative projects that have a national</w:t>
      </w:r>
      <w:r w:rsidR="00B51085">
        <w:rPr>
          <w:b w:val="0"/>
          <w:color w:val="auto"/>
        </w:rPr>
        <w:t xml:space="preserve">, </w:t>
      </w:r>
      <w:r w:rsidR="0073469E">
        <w:rPr>
          <w:b w:val="0"/>
          <w:color w:val="auto"/>
        </w:rPr>
        <w:t>state</w:t>
      </w:r>
      <w:r w:rsidR="00B51085">
        <w:rPr>
          <w:b w:val="0"/>
          <w:color w:val="auto"/>
        </w:rPr>
        <w:t xml:space="preserve"> or </w:t>
      </w:r>
      <w:proofErr w:type="gramStart"/>
      <w:r w:rsidR="0073469E">
        <w:rPr>
          <w:b w:val="0"/>
          <w:color w:val="auto"/>
        </w:rPr>
        <w:t>territory focus</w:t>
      </w:r>
      <w:proofErr w:type="gramEnd"/>
      <w:r w:rsidR="0073469E">
        <w:rPr>
          <w:b w:val="0"/>
          <w:color w:val="auto"/>
        </w:rPr>
        <w:t>.</w:t>
      </w:r>
    </w:p>
    <w:p w:rsidR="00045933" w:rsidRPr="000F576B" w:rsidRDefault="00045933" w:rsidP="00045933">
      <w:pPr>
        <w:spacing w:after="120"/>
      </w:pPr>
      <w:r w:rsidRPr="00045933">
        <w:t xml:space="preserve">The Program will be </w:t>
      </w:r>
      <w:r w:rsidR="00B367E9">
        <w:t>administered</w:t>
      </w:r>
      <w:r w:rsidR="00B367E9" w:rsidRPr="00045933">
        <w:t xml:space="preserve"> </w:t>
      </w:r>
      <w:r w:rsidRPr="00045933">
        <w:t xml:space="preserve">according to the </w:t>
      </w:r>
      <w:hyperlink r:id="rId18" w:history="1">
        <w:r w:rsidR="00B05EBE">
          <w:rPr>
            <w:rStyle w:val="Hyperlink"/>
            <w:rFonts w:cstheme="minorBidi"/>
            <w:i/>
          </w:rPr>
          <w:t>Commonwealth Grants Rules and Guidelines (CGRGS)</w:t>
        </w:r>
      </w:hyperlink>
      <w:r w:rsidR="00B05EBE">
        <w:rPr>
          <w:i/>
        </w:rPr>
        <w:t>.</w:t>
      </w:r>
    </w:p>
    <w:p w:rsidR="00045933" w:rsidRPr="00DF4FFA" w:rsidRDefault="00045933" w:rsidP="007F518C">
      <w:pPr>
        <w:pStyle w:val="Heading2Numbered"/>
        <w:numPr>
          <w:ilvl w:val="1"/>
          <w:numId w:val="15"/>
        </w:numPr>
        <w:ind w:left="567"/>
      </w:pPr>
      <w:bookmarkStart w:id="7" w:name="_Toc467773952"/>
      <w:bookmarkStart w:id="8" w:name="_Toc528913496"/>
      <w:r w:rsidRPr="00141248">
        <w:t xml:space="preserve">About the </w:t>
      </w:r>
      <w:r w:rsidRPr="00045933">
        <w:t>Grant Opportunity</w:t>
      </w:r>
      <w:bookmarkEnd w:id="7"/>
      <w:bookmarkEnd w:id="8"/>
    </w:p>
    <w:p w:rsidR="00045933" w:rsidRPr="00045933" w:rsidRDefault="00045933" w:rsidP="00045933">
      <w:bookmarkStart w:id="9" w:name="_Ref421783365"/>
      <w:r w:rsidRPr="00045933">
        <w:t>These guideli</w:t>
      </w:r>
      <w:r w:rsidR="0082630A">
        <w:t xml:space="preserve">nes contain information </w:t>
      </w:r>
      <w:r w:rsidR="00683DA3">
        <w:t xml:space="preserve">about the Major </w:t>
      </w:r>
      <w:r w:rsidR="0065715B">
        <w:t>Commemorative Grants</w:t>
      </w:r>
      <w:r w:rsidR="00683DA3">
        <w:t xml:space="preserve"> (MCG) opportunity.</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Pr="000A271A" w:rsidRDefault="00045933" w:rsidP="000A271A">
      <w:pPr>
        <w:pStyle w:val="Bullet1"/>
      </w:pPr>
      <w:r w:rsidRPr="000A271A">
        <w:t>the eligibility and assessment criteria</w:t>
      </w:r>
    </w:p>
    <w:p w:rsidR="00045933" w:rsidRPr="000A271A" w:rsidRDefault="00045933" w:rsidP="000A271A">
      <w:pPr>
        <w:pStyle w:val="Bullet1"/>
      </w:pPr>
      <w:r w:rsidRPr="000A271A">
        <w:t xml:space="preserve">how grant applications are </w:t>
      </w:r>
      <w:r w:rsidR="00B52E35">
        <w:t>checked</w:t>
      </w:r>
      <w:r w:rsidR="00B52E35" w:rsidRPr="000A271A">
        <w:t xml:space="preserve"> </w:t>
      </w:r>
      <w:r w:rsidRPr="000A271A">
        <w:t xml:space="preserve">and </w:t>
      </w:r>
      <w:r w:rsidR="00B52E35">
        <w:t>assessed</w:t>
      </w:r>
    </w:p>
    <w:p w:rsidR="00045933" w:rsidRPr="000A271A" w:rsidRDefault="00045933" w:rsidP="000A271A">
      <w:pPr>
        <w:pStyle w:val="Bullet1"/>
      </w:pPr>
      <w:r w:rsidRPr="000A271A">
        <w:t>responsibilities and expectations</w:t>
      </w:r>
      <w:r w:rsidR="002E00E2">
        <w:t xml:space="preserve"> in relation to the opportunity</w:t>
      </w:r>
      <w:r w:rsidRPr="000A271A">
        <w:t xml:space="preserve"> </w:t>
      </w:r>
    </w:p>
    <w:p w:rsidR="000A271A" w:rsidRDefault="000A271A" w:rsidP="00045933">
      <w:pPr>
        <w:pStyle w:val="NoSpacing"/>
        <w:rPr>
          <w:rFonts w:asciiTheme="majorHAnsi" w:hAnsiTheme="majorHAnsi" w:cstheme="majorHAnsi"/>
        </w:rPr>
      </w:pPr>
    </w:p>
    <w:p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045933" w:rsidRPr="00ED25A4" w:rsidRDefault="00045933" w:rsidP="00056305">
      <w:pPr>
        <w:pStyle w:val="Heading2Numbered"/>
        <w:rPr>
          <w:color w:val="auto"/>
        </w:rPr>
      </w:pPr>
      <w:bookmarkStart w:id="10" w:name="_Toc461105052"/>
      <w:bookmarkStart w:id="11" w:name="_Toc467773953"/>
      <w:bookmarkStart w:id="12" w:name="_Toc528913497"/>
      <w:bookmarkEnd w:id="10"/>
      <w:r w:rsidRPr="00ED25A4">
        <w:rPr>
          <w:color w:val="auto"/>
        </w:rPr>
        <w:t>Grant Opportunity outcomes</w:t>
      </w:r>
      <w:bookmarkEnd w:id="11"/>
      <w:bookmarkEnd w:id="12"/>
      <w:r w:rsidRPr="00ED25A4">
        <w:rPr>
          <w:color w:val="auto"/>
        </w:rPr>
        <w:t xml:space="preserve"> </w:t>
      </w:r>
      <w:bookmarkEnd w:id="9"/>
    </w:p>
    <w:p w:rsidR="00B367E9" w:rsidRPr="00045933" w:rsidRDefault="00B367E9" w:rsidP="00B367E9">
      <w:pPr>
        <w:spacing w:after="120"/>
      </w:pPr>
      <w:r w:rsidRPr="00ED25A4">
        <w:t xml:space="preserve">The expected outcomes of </w:t>
      </w:r>
      <w:r w:rsidR="00E76C40">
        <w:t>MCG</w:t>
      </w:r>
      <w:r w:rsidRPr="00ED25A4">
        <w:t xml:space="preserve"> are to involve people throughout the nation in a wide range of programs and activities that highlight the service and sacrifice of Australia’s service </w:t>
      </w:r>
      <w:r w:rsidR="00367346">
        <w:t>personnel</w:t>
      </w:r>
      <w:r w:rsidRPr="00ED25A4">
        <w:t xml:space="preserve"> in wars, conflicts and peace operations and promote appreciation and understanding of the roles that those who served have played in shaping the nation.</w:t>
      </w:r>
      <w:r>
        <w:t xml:space="preserve"> </w:t>
      </w:r>
    </w:p>
    <w:p w:rsidR="00045933" w:rsidRPr="004869F1" w:rsidRDefault="00045933" w:rsidP="00A668C8">
      <w:pPr>
        <w:pStyle w:val="Heading1Numbered"/>
      </w:pPr>
      <w:bookmarkStart w:id="13" w:name="_Toc467773954"/>
      <w:bookmarkStart w:id="14" w:name="_Toc528913498"/>
      <w:r w:rsidRPr="004869F1">
        <w:t>Grant amount</w:t>
      </w:r>
      <w:bookmarkEnd w:id="13"/>
      <w:bookmarkEnd w:id="14"/>
    </w:p>
    <w:p w:rsidR="00FB30E0" w:rsidRPr="00FB30E0" w:rsidRDefault="003A2E24" w:rsidP="00BF7714">
      <w:pPr>
        <w:shd w:val="clear" w:color="auto" w:fill="FFFFFF" w:themeFill="background1"/>
      </w:pPr>
      <w:r>
        <w:t xml:space="preserve">There is no minimum or maximum grant </w:t>
      </w:r>
      <w:r w:rsidR="00FB30E0">
        <w:t>amount;</w:t>
      </w:r>
      <w:r>
        <w:t xml:space="preserve"> however grants are usually over $4,000.</w:t>
      </w:r>
    </w:p>
    <w:p w:rsidR="00340616" w:rsidRPr="00B72EE8" w:rsidRDefault="00340616" w:rsidP="00340616">
      <w:pPr>
        <w:pStyle w:val="Heading1Numbered"/>
      </w:pPr>
      <w:bookmarkStart w:id="15" w:name="_Toc421777594"/>
      <w:bookmarkStart w:id="16" w:name="_Ref428266971"/>
      <w:bookmarkStart w:id="17" w:name="_Toc467773955"/>
      <w:bookmarkStart w:id="18" w:name="_Toc528913499"/>
      <w:r>
        <w:t>Grant e</w:t>
      </w:r>
      <w:r w:rsidRPr="00B72EE8">
        <w:t>ligibility</w:t>
      </w:r>
      <w:bookmarkEnd w:id="15"/>
      <w:bookmarkEnd w:id="16"/>
      <w:r>
        <w:t xml:space="preserve"> cr</w:t>
      </w:r>
      <w:r w:rsidRPr="00B72EE8">
        <w:t>iteria</w:t>
      </w:r>
      <w:bookmarkEnd w:id="17"/>
      <w:bookmarkEnd w:id="18"/>
      <w:r>
        <w:t xml:space="preserve"> </w:t>
      </w:r>
    </w:p>
    <w:p w:rsidR="00340616" w:rsidRPr="00D149A4" w:rsidRDefault="00340616" w:rsidP="00D149A4">
      <w:pPr>
        <w:shd w:val="clear" w:color="auto" w:fill="FFFFFF" w:themeFill="background1"/>
        <w:spacing w:after="120"/>
      </w:pPr>
      <w:bookmarkStart w:id="19" w:name="_Ref414285977"/>
      <w:r w:rsidRPr="00D149A4">
        <w:t xml:space="preserve">We cannot consider your application if it does not satisfy all the eligibility criteria. </w:t>
      </w:r>
    </w:p>
    <w:p w:rsidR="00340616" w:rsidRPr="00D149A4" w:rsidRDefault="00340616" w:rsidP="00D149A4">
      <w:pPr>
        <w:pStyle w:val="Heading2Numbered"/>
        <w:shd w:val="clear" w:color="auto" w:fill="FFFFFF" w:themeFill="background1"/>
      </w:pPr>
      <w:bookmarkStart w:id="20" w:name="_Ref421696970"/>
      <w:bookmarkStart w:id="21" w:name="_Toc421777595"/>
      <w:bookmarkStart w:id="22" w:name="_Toc467773956"/>
      <w:bookmarkStart w:id="23" w:name="_Toc528913500"/>
      <w:r w:rsidRPr="00D149A4">
        <w:t>Who is eligible to apply for a grant?</w:t>
      </w:r>
      <w:bookmarkEnd w:id="19"/>
      <w:bookmarkEnd w:id="20"/>
      <w:bookmarkEnd w:id="21"/>
      <w:bookmarkEnd w:id="22"/>
      <w:bookmarkEnd w:id="23"/>
    </w:p>
    <w:p w:rsidR="00FB30E0" w:rsidRPr="00D149A4" w:rsidRDefault="008C0571" w:rsidP="00D149A4">
      <w:pPr>
        <w:shd w:val="clear" w:color="auto" w:fill="FFFFFF" w:themeFill="background1"/>
        <w:spacing w:after="0" w:line="240" w:lineRule="auto"/>
        <w:rPr>
          <w:rFonts w:cstheme="minorHAnsi"/>
        </w:rPr>
      </w:pPr>
      <w:r w:rsidRPr="00D149A4">
        <w:t>There are three applicant types:</w:t>
      </w:r>
    </w:p>
    <w:p w:rsidR="008D264C" w:rsidRDefault="00EE69A0" w:rsidP="00D149A4">
      <w:pPr>
        <w:pStyle w:val="ListParagraph"/>
        <w:numPr>
          <w:ilvl w:val="0"/>
          <w:numId w:val="38"/>
        </w:numPr>
        <w:shd w:val="clear" w:color="auto" w:fill="FFFFFF" w:themeFill="background1"/>
        <w:spacing w:after="0" w:line="240" w:lineRule="auto"/>
        <w:ind w:left="714" w:hanging="357"/>
        <w:rPr>
          <w:rFonts w:asciiTheme="minorHAnsi" w:hAnsiTheme="minorHAnsi" w:cstheme="minorHAnsi"/>
        </w:rPr>
      </w:pPr>
      <w:r w:rsidRPr="00D149A4">
        <w:rPr>
          <w:rFonts w:asciiTheme="minorHAnsi" w:hAnsiTheme="minorHAnsi" w:cstheme="minorHAnsi"/>
        </w:rPr>
        <w:t xml:space="preserve">An entity </w:t>
      </w:r>
      <w:r w:rsidR="00794EE1" w:rsidRPr="00D149A4">
        <w:rPr>
          <w:rFonts w:asciiTheme="minorHAnsi" w:hAnsiTheme="minorHAnsi" w:cstheme="minorHAnsi"/>
        </w:rPr>
        <w:t xml:space="preserve">applying for funding </w:t>
      </w:r>
      <w:r w:rsidR="008D264C" w:rsidRPr="00D149A4">
        <w:rPr>
          <w:rFonts w:asciiTheme="minorHAnsi" w:hAnsiTheme="minorHAnsi" w:cstheme="minorHAnsi"/>
        </w:rPr>
        <w:t xml:space="preserve">in </w:t>
      </w:r>
      <w:r w:rsidR="00794EE1" w:rsidRPr="00D149A4">
        <w:rPr>
          <w:rFonts w:asciiTheme="minorHAnsi" w:hAnsiTheme="minorHAnsi" w:cstheme="minorHAnsi"/>
        </w:rPr>
        <w:t>its own</w:t>
      </w:r>
      <w:r w:rsidR="008D264C" w:rsidRPr="00D149A4">
        <w:rPr>
          <w:rFonts w:asciiTheme="minorHAnsi" w:hAnsiTheme="minorHAnsi" w:cstheme="minorHAnsi"/>
        </w:rPr>
        <w:t xml:space="preserve"> right </w:t>
      </w:r>
    </w:p>
    <w:p w:rsidR="00D63577" w:rsidRPr="00D63577" w:rsidRDefault="00D63577" w:rsidP="00D63577">
      <w:pPr>
        <w:pStyle w:val="ListParagraph"/>
        <w:numPr>
          <w:ilvl w:val="0"/>
          <w:numId w:val="38"/>
        </w:numPr>
        <w:shd w:val="clear" w:color="auto" w:fill="FFFFFF" w:themeFill="background1"/>
        <w:spacing w:after="0" w:line="240" w:lineRule="auto"/>
      </w:pPr>
      <w:r w:rsidRPr="00EE69A0">
        <w:rPr>
          <w:rFonts w:asciiTheme="minorHAnsi" w:hAnsiTheme="minorHAnsi" w:cstheme="minorHAnsi"/>
        </w:rPr>
        <w:t>A</w:t>
      </w:r>
      <w:r>
        <w:rPr>
          <w:rFonts w:asciiTheme="minorHAnsi" w:hAnsiTheme="minorHAnsi" w:cstheme="minorHAnsi"/>
        </w:rPr>
        <w:t xml:space="preserve">n entity applying as a sponsor </w:t>
      </w:r>
      <w:r w:rsidRPr="00EE69A0">
        <w:rPr>
          <w:rFonts w:asciiTheme="minorHAnsi" w:hAnsiTheme="minorHAnsi" w:cstheme="minorHAnsi"/>
        </w:rPr>
        <w:t xml:space="preserve">on behalf of an individual or </w:t>
      </w:r>
      <w:r>
        <w:rPr>
          <w:rFonts w:asciiTheme="minorHAnsi" w:hAnsiTheme="minorHAnsi" w:cstheme="minorHAnsi"/>
        </w:rPr>
        <w:t>in</w:t>
      </w:r>
      <w:r w:rsidRPr="00EE69A0">
        <w:rPr>
          <w:rFonts w:asciiTheme="minorHAnsi" w:hAnsiTheme="minorHAnsi" w:cstheme="minorHAnsi"/>
        </w:rPr>
        <w:t>eligible organisation</w:t>
      </w:r>
    </w:p>
    <w:p w:rsidR="009A2911" w:rsidRPr="009A2911" w:rsidRDefault="00EE69A0" w:rsidP="00CA51D7">
      <w:pPr>
        <w:pStyle w:val="ListParagraph"/>
        <w:numPr>
          <w:ilvl w:val="0"/>
          <w:numId w:val="38"/>
        </w:numPr>
        <w:shd w:val="clear" w:color="auto" w:fill="FFFFFF" w:themeFill="background1"/>
        <w:spacing w:after="0" w:line="240" w:lineRule="auto"/>
        <w:ind w:left="714" w:hanging="357"/>
        <w:rPr>
          <w:rFonts w:cstheme="minorHAnsi"/>
        </w:rPr>
      </w:pPr>
      <w:r w:rsidRPr="00D149A4">
        <w:rPr>
          <w:rFonts w:asciiTheme="minorHAnsi" w:hAnsiTheme="minorHAnsi" w:cstheme="minorHAnsi"/>
        </w:rPr>
        <w:t xml:space="preserve">An entity </w:t>
      </w:r>
      <w:r w:rsidR="00794EE1" w:rsidRPr="00D149A4">
        <w:rPr>
          <w:rFonts w:asciiTheme="minorHAnsi" w:hAnsiTheme="minorHAnsi" w:cstheme="minorHAnsi"/>
        </w:rPr>
        <w:t>applying</w:t>
      </w:r>
      <w:r w:rsidR="005F5A7F" w:rsidRPr="00D149A4">
        <w:rPr>
          <w:rFonts w:asciiTheme="minorHAnsi" w:hAnsiTheme="minorHAnsi" w:cstheme="minorHAnsi"/>
        </w:rPr>
        <w:t xml:space="preserve"> as the</w:t>
      </w:r>
      <w:r w:rsidR="005F5A7F" w:rsidRPr="00EE69A0">
        <w:rPr>
          <w:rFonts w:asciiTheme="minorHAnsi" w:hAnsiTheme="minorHAnsi" w:cstheme="minorHAnsi"/>
        </w:rPr>
        <w:t xml:space="preserve"> lead agency of a consortium</w:t>
      </w:r>
    </w:p>
    <w:p w:rsidR="00D149A4" w:rsidRPr="009A2911" w:rsidRDefault="00D149A4" w:rsidP="009A2911">
      <w:pPr>
        <w:shd w:val="clear" w:color="auto" w:fill="FFFFFF" w:themeFill="background1"/>
        <w:spacing w:after="0" w:line="240" w:lineRule="auto"/>
        <w:ind w:left="357"/>
        <w:rPr>
          <w:rFonts w:cstheme="minorHAnsi"/>
        </w:rPr>
      </w:pPr>
      <w:r w:rsidRPr="009A2911">
        <w:rPr>
          <w:rFonts w:cstheme="minorHAnsi"/>
        </w:rPr>
        <w:t>Depending on the applicant type you can apply for grants under $10,000 or over $10,000.</w:t>
      </w:r>
    </w:p>
    <w:p w:rsidR="00D149A4" w:rsidRPr="00C45C2A" w:rsidRDefault="00D149A4" w:rsidP="00D149A4">
      <w:pPr>
        <w:spacing w:before="0" w:after="0" w:line="240" w:lineRule="auto"/>
        <w:rPr>
          <w:rFonts w:cstheme="minorHAnsi"/>
          <w:b/>
        </w:rPr>
      </w:pPr>
      <w:r>
        <w:rPr>
          <w:rFonts w:cstheme="minorHAnsi"/>
          <w:b/>
        </w:rPr>
        <w:lastRenderedPageBreak/>
        <w:br/>
      </w:r>
      <w:r w:rsidRPr="00C45C2A">
        <w:rPr>
          <w:rFonts w:cstheme="minorHAnsi"/>
          <w:b/>
        </w:rPr>
        <w:t>If you are one of the following applicant types, you can apply for grants under $10,000</w:t>
      </w:r>
    </w:p>
    <w:p w:rsidR="00D149A4" w:rsidRP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for funding in its own right </w:t>
      </w:r>
    </w:p>
    <w:p w:rsid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as a sponsor on behalf of an individual </w:t>
      </w:r>
      <w:r w:rsidR="000A61F6" w:rsidRPr="00EE69A0">
        <w:rPr>
          <w:rFonts w:asciiTheme="minorHAnsi" w:hAnsiTheme="minorHAnsi" w:cstheme="minorHAnsi"/>
        </w:rPr>
        <w:t xml:space="preserve">or </w:t>
      </w:r>
      <w:r w:rsidR="000A61F6" w:rsidRPr="005205EB">
        <w:rPr>
          <w:rFonts w:asciiTheme="minorHAnsi" w:hAnsiTheme="minorHAnsi" w:cstheme="minorHAnsi"/>
        </w:rPr>
        <w:t>ineligible organisation</w:t>
      </w:r>
      <w:r w:rsidR="000A61F6" w:rsidRPr="00EE69A0">
        <w:rPr>
          <w:rFonts w:asciiTheme="minorHAnsi" w:hAnsiTheme="minorHAnsi" w:cstheme="minorHAnsi"/>
        </w:rPr>
        <w:t xml:space="preserve"> </w:t>
      </w:r>
    </w:p>
    <w:p w:rsidR="00D63577" w:rsidRPr="00D63577" w:rsidRDefault="00D63577" w:rsidP="00D63577">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An entity applying as the lead agency of a consortium</w:t>
      </w:r>
    </w:p>
    <w:p w:rsidR="00D149A4" w:rsidRPr="005E6322" w:rsidRDefault="00D149A4" w:rsidP="00D149A4">
      <w:pPr>
        <w:spacing w:before="0" w:after="0" w:line="240" w:lineRule="auto"/>
        <w:rPr>
          <w:rFonts w:cstheme="minorHAnsi"/>
        </w:rPr>
      </w:pPr>
    </w:p>
    <w:p w:rsidR="00D149A4" w:rsidRPr="008A526E" w:rsidRDefault="00D149A4" w:rsidP="00D149A4">
      <w:pPr>
        <w:spacing w:before="0" w:after="0" w:line="240" w:lineRule="auto"/>
      </w:pPr>
      <w:r w:rsidRPr="008A526E">
        <w:t>To be eligible</w:t>
      </w:r>
      <w:r>
        <w:t xml:space="preserve">, </w:t>
      </w:r>
      <w:r w:rsidRPr="008A526E">
        <w:t>you must be one of the following entity types as stated in the dropdown list in the Application form:</w:t>
      </w:r>
    </w:p>
    <w:p w:rsidR="00D149A4" w:rsidRDefault="00D149A4" w:rsidP="00D149A4">
      <w:pPr>
        <w:pStyle w:val="Bullet3"/>
        <w:numPr>
          <w:ilvl w:val="0"/>
          <w:numId w:val="32"/>
        </w:numPr>
        <w:spacing w:before="0"/>
        <w:ind w:left="1287" w:hanging="357"/>
      </w:pPr>
      <w:r>
        <w:t>C</w:t>
      </w:r>
      <w:r w:rsidRPr="000A271A">
        <w:t xml:space="preserve">ompany </w:t>
      </w:r>
    </w:p>
    <w:p w:rsidR="00D149A4" w:rsidRDefault="00D149A4" w:rsidP="00D149A4">
      <w:pPr>
        <w:pStyle w:val="Bullet3"/>
        <w:numPr>
          <w:ilvl w:val="0"/>
          <w:numId w:val="32"/>
        </w:numPr>
        <w:spacing w:before="0"/>
        <w:ind w:left="1287" w:hanging="357"/>
      </w:pPr>
      <w:r>
        <w:t>Cooperative</w:t>
      </w:r>
    </w:p>
    <w:p w:rsidR="00D149A4" w:rsidRDefault="00D149A4" w:rsidP="00D149A4">
      <w:pPr>
        <w:pStyle w:val="Bullet3"/>
        <w:numPr>
          <w:ilvl w:val="0"/>
          <w:numId w:val="32"/>
        </w:numPr>
        <w:spacing w:before="0"/>
        <w:ind w:left="1287" w:hanging="357"/>
      </w:pPr>
      <w:r>
        <w:t>Indigenous corporation</w:t>
      </w:r>
    </w:p>
    <w:p w:rsidR="00D149A4" w:rsidRPr="000A271A" w:rsidRDefault="00D149A4" w:rsidP="00D149A4">
      <w:pPr>
        <w:pStyle w:val="Bullet3"/>
        <w:numPr>
          <w:ilvl w:val="0"/>
          <w:numId w:val="32"/>
        </w:numPr>
        <w:spacing w:before="0"/>
        <w:ind w:left="1287" w:hanging="357"/>
      </w:pPr>
      <w:r>
        <w:t>I</w:t>
      </w:r>
      <w:r w:rsidRPr="000A271A">
        <w:t>ncorporated association</w:t>
      </w:r>
    </w:p>
    <w:p w:rsidR="00D149A4" w:rsidRPr="000A271A" w:rsidRDefault="00D149A4" w:rsidP="00D149A4">
      <w:pPr>
        <w:pStyle w:val="Bullet3"/>
        <w:numPr>
          <w:ilvl w:val="0"/>
          <w:numId w:val="32"/>
        </w:numPr>
        <w:spacing w:before="0"/>
        <w:ind w:left="1287" w:hanging="357"/>
      </w:pPr>
      <w:r>
        <w:t>L</w:t>
      </w:r>
      <w:r w:rsidRPr="000A271A">
        <w:t xml:space="preserve">ocal government </w:t>
      </w:r>
    </w:p>
    <w:p w:rsidR="00D149A4" w:rsidRPr="007834B9" w:rsidRDefault="00D149A4" w:rsidP="00D149A4">
      <w:pPr>
        <w:pStyle w:val="Bullet3"/>
        <w:numPr>
          <w:ilvl w:val="0"/>
          <w:numId w:val="32"/>
        </w:numPr>
        <w:spacing w:before="0"/>
        <w:ind w:left="1287" w:hanging="357"/>
        <w:rPr>
          <w:color w:val="745B00" w:themeColor="accent3" w:themeShade="80"/>
        </w:rPr>
      </w:pPr>
      <w:r>
        <w:t>State/Territory Government entity</w:t>
      </w:r>
    </w:p>
    <w:p w:rsidR="00D149A4" w:rsidRPr="007834B9" w:rsidRDefault="00D149A4" w:rsidP="00D149A4">
      <w:pPr>
        <w:pStyle w:val="Bullet3"/>
        <w:numPr>
          <w:ilvl w:val="0"/>
          <w:numId w:val="32"/>
        </w:numPr>
        <w:spacing w:before="0"/>
        <w:ind w:left="1287" w:hanging="357"/>
        <w:rPr>
          <w:color w:val="745B00" w:themeColor="accent3" w:themeShade="80"/>
        </w:rPr>
      </w:pPr>
      <w:r>
        <w:t xml:space="preserve">Statutory entity </w:t>
      </w:r>
    </w:p>
    <w:p w:rsidR="00EF478F" w:rsidRPr="00EF478F" w:rsidRDefault="00EF478F" w:rsidP="00D149A4">
      <w:pPr>
        <w:pStyle w:val="Bullet3"/>
        <w:numPr>
          <w:ilvl w:val="0"/>
          <w:numId w:val="32"/>
        </w:numPr>
        <w:spacing w:before="0"/>
        <w:ind w:left="1287" w:hanging="357"/>
      </w:pPr>
      <w:r>
        <w:rPr>
          <w:rFonts w:ascii="Arial" w:hAnsi="Arial" w:cs="Arial"/>
        </w:rPr>
        <w:t>Trustee on behalf of a Trust</w:t>
      </w:r>
      <w:r>
        <w:rPr>
          <w:rStyle w:val="FootnoteReference"/>
          <w:rFonts w:ascii="Arial" w:hAnsi="Arial" w:cs="Arial"/>
        </w:rPr>
        <w:footnoteReference w:id="2"/>
      </w:r>
    </w:p>
    <w:p w:rsidR="00D149A4" w:rsidRDefault="00D149A4" w:rsidP="00D149A4">
      <w:pPr>
        <w:pStyle w:val="Bullet3"/>
        <w:numPr>
          <w:ilvl w:val="0"/>
          <w:numId w:val="32"/>
        </w:numPr>
        <w:spacing w:before="0"/>
        <w:ind w:left="1287" w:hanging="357"/>
      </w:pPr>
      <w:r>
        <w:t>U</w:t>
      </w:r>
      <w:r w:rsidRPr="007834B9">
        <w:t>nincorporated</w:t>
      </w:r>
      <w:r>
        <w:t xml:space="preserve"> Entity </w:t>
      </w:r>
    </w:p>
    <w:p w:rsidR="00D149A4" w:rsidRPr="00C45C2A" w:rsidRDefault="00D149A4" w:rsidP="00D149A4">
      <w:pPr>
        <w:spacing w:before="0" w:after="0" w:line="240" w:lineRule="auto"/>
        <w:rPr>
          <w:rFonts w:cstheme="minorHAnsi"/>
          <w:b/>
        </w:rPr>
      </w:pPr>
      <w:r w:rsidRPr="00C45C2A">
        <w:rPr>
          <w:rFonts w:cstheme="minorHAnsi"/>
          <w:b/>
        </w:rPr>
        <w:t>If you are one of the following applicant types, you can apply for grants $10,000</w:t>
      </w:r>
      <w:r>
        <w:rPr>
          <w:rFonts w:cstheme="minorHAnsi"/>
          <w:b/>
        </w:rPr>
        <w:t xml:space="preserve"> and over</w:t>
      </w:r>
    </w:p>
    <w:p w:rsidR="00D149A4" w:rsidRPr="00D149A4" w:rsidRDefault="00D149A4" w:rsidP="00D149A4">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 xml:space="preserve">An entity applying for funding in its own right </w:t>
      </w:r>
    </w:p>
    <w:p w:rsidR="00D63577" w:rsidRPr="00D63577" w:rsidRDefault="00D149A4" w:rsidP="00D149A4">
      <w:pPr>
        <w:pStyle w:val="ListParagraph"/>
        <w:numPr>
          <w:ilvl w:val="0"/>
          <w:numId w:val="43"/>
        </w:numPr>
        <w:spacing w:after="0" w:line="240" w:lineRule="auto"/>
      </w:pPr>
      <w:r w:rsidRPr="00EE69A0">
        <w:rPr>
          <w:rFonts w:asciiTheme="minorHAnsi" w:hAnsiTheme="minorHAnsi" w:cstheme="minorHAnsi"/>
        </w:rPr>
        <w:t>A</w:t>
      </w:r>
      <w:r>
        <w:rPr>
          <w:rFonts w:asciiTheme="minorHAnsi" w:hAnsiTheme="minorHAnsi" w:cstheme="minorHAnsi"/>
        </w:rPr>
        <w:t xml:space="preserve">n entity applying as a sponsor </w:t>
      </w:r>
      <w:r w:rsidRPr="00EE69A0">
        <w:rPr>
          <w:rFonts w:asciiTheme="minorHAnsi" w:hAnsiTheme="minorHAnsi" w:cstheme="minorHAnsi"/>
        </w:rPr>
        <w:t xml:space="preserve">on behalf of an individual </w:t>
      </w:r>
      <w:r w:rsidRPr="005205EB">
        <w:rPr>
          <w:rFonts w:asciiTheme="minorHAnsi" w:hAnsiTheme="minorHAnsi" w:cstheme="minorHAnsi"/>
        </w:rPr>
        <w:t xml:space="preserve">or </w:t>
      </w:r>
      <w:r w:rsidR="00D94634" w:rsidRPr="005205EB">
        <w:rPr>
          <w:rFonts w:asciiTheme="minorHAnsi" w:hAnsiTheme="minorHAnsi" w:cstheme="minorHAnsi"/>
        </w:rPr>
        <w:t>in</w:t>
      </w:r>
      <w:r w:rsidRPr="005205EB">
        <w:rPr>
          <w:rFonts w:asciiTheme="minorHAnsi" w:hAnsiTheme="minorHAnsi" w:cstheme="minorHAnsi"/>
        </w:rPr>
        <w:t>eligible organisation</w:t>
      </w:r>
      <w:r w:rsidRPr="00EE69A0">
        <w:rPr>
          <w:rFonts w:asciiTheme="minorHAnsi" w:hAnsiTheme="minorHAnsi" w:cstheme="minorHAnsi"/>
        </w:rPr>
        <w:t xml:space="preserve"> </w:t>
      </w:r>
    </w:p>
    <w:p w:rsidR="00D149A4" w:rsidRPr="00D63577" w:rsidRDefault="00D63577" w:rsidP="00D63577">
      <w:pPr>
        <w:pStyle w:val="ListParagraph"/>
        <w:numPr>
          <w:ilvl w:val="0"/>
          <w:numId w:val="43"/>
        </w:numPr>
        <w:spacing w:after="0" w:line="240" w:lineRule="auto"/>
        <w:rPr>
          <w:rFonts w:asciiTheme="minorHAnsi" w:hAnsiTheme="minorHAnsi" w:cstheme="minorHAnsi"/>
        </w:rPr>
      </w:pPr>
      <w:r w:rsidRPr="00D149A4">
        <w:rPr>
          <w:rFonts w:asciiTheme="minorHAnsi" w:hAnsiTheme="minorHAnsi" w:cstheme="minorHAnsi"/>
        </w:rPr>
        <w:t>An entity applying as the lead agency of a consortium</w:t>
      </w:r>
      <w:r w:rsidR="00D149A4" w:rsidRPr="00D63577">
        <w:rPr>
          <w:rFonts w:asciiTheme="minorHAnsi" w:hAnsiTheme="minorHAnsi" w:cstheme="minorHAnsi"/>
        </w:rPr>
        <w:t xml:space="preserve"> </w:t>
      </w:r>
    </w:p>
    <w:p w:rsidR="00D149A4" w:rsidRDefault="00D149A4" w:rsidP="00D149A4">
      <w:pPr>
        <w:spacing w:before="0" w:after="0"/>
      </w:pPr>
    </w:p>
    <w:p w:rsidR="00D149A4" w:rsidRPr="008A526E" w:rsidRDefault="00D149A4" w:rsidP="00D149A4">
      <w:pPr>
        <w:spacing w:before="0" w:after="0"/>
        <w:rPr>
          <w:rFonts w:cstheme="minorHAnsi"/>
        </w:rPr>
      </w:pPr>
      <w:r w:rsidRPr="008A526E">
        <w:t xml:space="preserve">To be eligible you </w:t>
      </w:r>
      <w:r w:rsidRPr="00B1554C">
        <w:rPr>
          <w:u w:val="single"/>
        </w:rPr>
        <w:t>must be incorporated</w:t>
      </w:r>
      <w:r w:rsidRPr="008A526E">
        <w:t xml:space="preserve"> and one of the following entity types as stated in the</w:t>
      </w:r>
      <w:r w:rsidRPr="008A526E">
        <w:rPr>
          <w:rFonts w:cstheme="minorHAnsi"/>
        </w:rPr>
        <w:t xml:space="preserve"> dropdown list in the Application form:</w:t>
      </w:r>
    </w:p>
    <w:p w:rsidR="00D149A4" w:rsidRDefault="00D149A4" w:rsidP="00D149A4">
      <w:pPr>
        <w:pStyle w:val="Bullet3"/>
        <w:numPr>
          <w:ilvl w:val="0"/>
          <w:numId w:val="32"/>
        </w:numPr>
        <w:spacing w:before="0"/>
        <w:ind w:left="1287" w:hanging="357"/>
      </w:pPr>
      <w:r>
        <w:t>C</w:t>
      </w:r>
      <w:r w:rsidRPr="000A271A">
        <w:t xml:space="preserve">ompany </w:t>
      </w:r>
    </w:p>
    <w:p w:rsidR="00D149A4" w:rsidRDefault="00D149A4" w:rsidP="00D149A4">
      <w:pPr>
        <w:pStyle w:val="Bullet3"/>
        <w:numPr>
          <w:ilvl w:val="0"/>
          <w:numId w:val="32"/>
        </w:numPr>
        <w:spacing w:before="0"/>
        <w:ind w:left="1287" w:hanging="357"/>
      </w:pPr>
      <w:r>
        <w:t>Cooperative</w:t>
      </w:r>
    </w:p>
    <w:p w:rsidR="00D149A4" w:rsidRDefault="00D149A4" w:rsidP="00D149A4">
      <w:pPr>
        <w:pStyle w:val="Bullet3"/>
        <w:numPr>
          <w:ilvl w:val="0"/>
          <w:numId w:val="32"/>
        </w:numPr>
        <w:spacing w:before="0"/>
        <w:ind w:left="1287" w:hanging="357"/>
      </w:pPr>
      <w:r>
        <w:t>Indigenous corporation</w:t>
      </w:r>
    </w:p>
    <w:p w:rsidR="00D149A4" w:rsidRPr="000A271A" w:rsidRDefault="00D149A4" w:rsidP="00D149A4">
      <w:pPr>
        <w:pStyle w:val="Bullet3"/>
        <w:numPr>
          <w:ilvl w:val="0"/>
          <w:numId w:val="32"/>
        </w:numPr>
        <w:spacing w:before="0"/>
        <w:ind w:left="1287" w:hanging="357"/>
      </w:pPr>
      <w:r>
        <w:t>I</w:t>
      </w:r>
      <w:r w:rsidRPr="000A271A">
        <w:t>ncorporated association</w:t>
      </w:r>
    </w:p>
    <w:p w:rsidR="00D149A4" w:rsidRPr="000A271A" w:rsidRDefault="00D149A4" w:rsidP="00D149A4">
      <w:pPr>
        <w:pStyle w:val="Bullet3"/>
        <w:numPr>
          <w:ilvl w:val="0"/>
          <w:numId w:val="32"/>
        </w:numPr>
        <w:spacing w:before="0"/>
        <w:ind w:left="1287" w:hanging="357"/>
      </w:pPr>
      <w:r>
        <w:t>L</w:t>
      </w:r>
      <w:r w:rsidRPr="000A271A">
        <w:t xml:space="preserve">ocal government </w:t>
      </w:r>
    </w:p>
    <w:p w:rsidR="00D149A4" w:rsidRPr="00AC6A2E" w:rsidRDefault="00D149A4" w:rsidP="00D149A4">
      <w:pPr>
        <w:pStyle w:val="Bullet3"/>
        <w:numPr>
          <w:ilvl w:val="0"/>
          <w:numId w:val="32"/>
        </w:numPr>
        <w:spacing w:before="0"/>
        <w:ind w:left="1287" w:hanging="357"/>
      </w:pPr>
      <w:r>
        <w:t>State/Territory Government entity</w:t>
      </w:r>
    </w:p>
    <w:p w:rsidR="00D149A4" w:rsidRPr="00AC6A2E" w:rsidRDefault="00D149A4" w:rsidP="00D149A4">
      <w:pPr>
        <w:pStyle w:val="Bullet3"/>
        <w:numPr>
          <w:ilvl w:val="0"/>
          <w:numId w:val="32"/>
        </w:numPr>
        <w:spacing w:before="0"/>
        <w:ind w:left="1287" w:hanging="357"/>
      </w:pPr>
      <w:r>
        <w:t xml:space="preserve">Statutory entity </w:t>
      </w:r>
    </w:p>
    <w:p w:rsidR="00FE312E" w:rsidRPr="00995116" w:rsidRDefault="00D149A4" w:rsidP="00995116">
      <w:pPr>
        <w:pStyle w:val="Bullet3"/>
        <w:numPr>
          <w:ilvl w:val="0"/>
          <w:numId w:val="32"/>
        </w:numPr>
        <w:spacing w:before="0"/>
        <w:ind w:left="1287" w:hanging="357"/>
        <w:rPr>
          <w:color w:val="745B00" w:themeColor="accent3" w:themeShade="80"/>
        </w:rPr>
      </w:pPr>
      <w:r>
        <w:t>Trustee on behalf of a Trust</w:t>
      </w:r>
    </w:p>
    <w:p w:rsidR="00664345" w:rsidRPr="00CA51D7" w:rsidRDefault="00D94634" w:rsidP="00CA51D7">
      <w:pPr>
        <w:spacing w:after="0" w:line="240" w:lineRule="auto"/>
        <w:contextualSpacing/>
        <w:rPr>
          <w:rFonts w:cstheme="minorHAnsi"/>
        </w:rPr>
      </w:pPr>
      <w:r>
        <w:rPr>
          <w:rFonts w:cstheme="minorHAnsi"/>
        </w:rPr>
        <w:t>Applications from consort</w:t>
      </w:r>
      <w:r w:rsidR="0080749D">
        <w:rPr>
          <w:rFonts w:cstheme="minorHAnsi"/>
        </w:rPr>
        <w:t>ia</w:t>
      </w:r>
      <w:r w:rsidRPr="00694DF9">
        <w:rPr>
          <w:rFonts w:cstheme="minorHAnsi"/>
        </w:rPr>
        <w:t xml:space="preserve"> are acceptable, provided you have a lead applicant who is the main driver of the project and is </w:t>
      </w:r>
      <w:r>
        <w:rPr>
          <w:rFonts w:cstheme="minorHAnsi"/>
        </w:rPr>
        <w:t xml:space="preserve">eligible as per the list above (refer to </w:t>
      </w:r>
      <w:r w:rsidR="00EF478F">
        <w:rPr>
          <w:rFonts w:ascii="Arial" w:hAnsi="Arial" w:cs="Arial"/>
        </w:rPr>
        <w:t>section 7.5</w:t>
      </w:r>
      <w:r w:rsidR="00EF478F">
        <w:rPr>
          <w:rStyle w:val="FootnoteReference"/>
          <w:rFonts w:ascii="Arial" w:hAnsi="Arial" w:cs="Arial"/>
        </w:rPr>
        <w:footnoteReference w:id="3"/>
      </w:r>
      <w:r>
        <w:rPr>
          <w:rFonts w:cstheme="minorHAnsi"/>
        </w:rPr>
        <w:t>).</w:t>
      </w:r>
      <w:r w:rsidR="00CA51D7">
        <w:rPr>
          <w:rFonts w:cstheme="minorHAnsi"/>
        </w:rPr>
        <w:t xml:space="preserve"> </w:t>
      </w:r>
    </w:p>
    <w:p w:rsidR="008D264C" w:rsidRDefault="008D264C" w:rsidP="008D264C">
      <w:pPr>
        <w:pStyle w:val="HeadingB"/>
        <w:numPr>
          <w:ilvl w:val="0"/>
          <w:numId w:val="0"/>
        </w:numPr>
        <w:tabs>
          <w:tab w:val="left" w:pos="720"/>
        </w:tabs>
        <w:spacing w:before="180" w:after="60" w:line="280" w:lineRule="atLeast"/>
        <w:rPr>
          <w:rFonts w:asciiTheme="minorHAnsi" w:hAnsiTheme="minorHAnsi" w:cstheme="minorHAnsi"/>
          <w:b w:val="0"/>
          <w:i/>
          <w:sz w:val="22"/>
          <w:szCs w:val="22"/>
          <w:u w:val="single"/>
        </w:rPr>
      </w:pPr>
      <w:r>
        <w:rPr>
          <w:rFonts w:asciiTheme="minorHAnsi" w:hAnsiTheme="minorHAnsi" w:cstheme="minorHAnsi"/>
          <w:b w:val="0"/>
          <w:i/>
          <w:sz w:val="22"/>
          <w:szCs w:val="22"/>
          <w:u w:val="single"/>
        </w:rPr>
        <w:t xml:space="preserve">Responsibilities of a Sponsor </w:t>
      </w:r>
    </w:p>
    <w:p w:rsidR="008D264C" w:rsidRDefault="008D264C" w:rsidP="008D264C">
      <w:pPr>
        <w:tabs>
          <w:tab w:val="left" w:pos="709"/>
          <w:tab w:val="left" w:pos="1560"/>
        </w:tabs>
        <w:rPr>
          <w:rFonts w:cstheme="minorHAnsi"/>
        </w:rPr>
      </w:pPr>
      <w:r>
        <w:rPr>
          <w:rFonts w:cstheme="minorHAnsi"/>
        </w:rPr>
        <w:t>The sponsor’s responsibilities are</w:t>
      </w:r>
      <w:r w:rsidR="00433ACA">
        <w:rPr>
          <w:rFonts w:cstheme="minorHAnsi"/>
        </w:rPr>
        <w:t xml:space="preserve"> to</w:t>
      </w:r>
      <w:r>
        <w:rPr>
          <w:rFonts w:cstheme="minorHAnsi"/>
        </w:rPr>
        <w:t>:</w:t>
      </w:r>
    </w:p>
    <w:p w:rsidR="008D264C" w:rsidRDefault="008D264C" w:rsidP="008D264C">
      <w:pPr>
        <w:numPr>
          <w:ilvl w:val="0"/>
          <w:numId w:val="40"/>
        </w:numPr>
        <w:ind w:left="714" w:hanging="357"/>
        <w:rPr>
          <w:rFonts w:cstheme="minorHAnsi"/>
        </w:rPr>
      </w:pPr>
      <w:r>
        <w:rPr>
          <w:rFonts w:cstheme="minorHAnsi"/>
        </w:rPr>
        <w:lastRenderedPageBreak/>
        <w:t>bear executive management responsibility and be accountable to DVA for the appropriate use of grant funds by the sponsored organisation in accordance with the terms of the grant;</w:t>
      </w:r>
    </w:p>
    <w:p w:rsidR="00D94634" w:rsidRPr="00D94634" w:rsidRDefault="00D94634" w:rsidP="00D94634">
      <w:pPr>
        <w:numPr>
          <w:ilvl w:val="0"/>
          <w:numId w:val="40"/>
        </w:numPr>
        <w:ind w:left="714" w:hanging="357"/>
        <w:rPr>
          <w:rFonts w:cstheme="minorHAnsi"/>
        </w:rPr>
      </w:pPr>
      <w:r>
        <w:rPr>
          <w:rFonts w:cstheme="minorHAnsi"/>
        </w:rPr>
        <w:t xml:space="preserve">provide a letter of declaration confirming sponsorship – completed by the sponsored </w:t>
      </w:r>
      <w:r>
        <w:t xml:space="preserve">individual or ineligible </w:t>
      </w:r>
      <w:r>
        <w:rPr>
          <w:rFonts w:cstheme="minorHAnsi"/>
        </w:rPr>
        <w:t xml:space="preserve">organisation on the template provided in </w:t>
      </w:r>
      <w:r w:rsidR="002E00E2">
        <w:rPr>
          <w:rFonts w:cstheme="minorHAnsi"/>
        </w:rPr>
        <w:t>the Grant Opportunity Documents</w:t>
      </w:r>
    </w:p>
    <w:p w:rsidR="008D264C" w:rsidRDefault="008D264C" w:rsidP="008D264C">
      <w:pPr>
        <w:numPr>
          <w:ilvl w:val="0"/>
          <w:numId w:val="40"/>
        </w:numPr>
        <w:ind w:left="714" w:hanging="357"/>
        <w:rPr>
          <w:rFonts w:cstheme="minorHAnsi"/>
        </w:rPr>
      </w:pPr>
      <w:r>
        <w:rPr>
          <w:rFonts w:cstheme="minorHAnsi"/>
        </w:rPr>
        <w:t xml:space="preserve">take responsibility for the receipt and </w:t>
      </w:r>
      <w:r w:rsidR="002E00E2">
        <w:rPr>
          <w:rFonts w:cstheme="minorHAnsi"/>
        </w:rPr>
        <w:t>distribution of grant funds</w:t>
      </w:r>
    </w:p>
    <w:p w:rsidR="008D264C" w:rsidRDefault="008D264C" w:rsidP="008D264C">
      <w:pPr>
        <w:numPr>
          <w:ilvl w:val="0"/>
          <w:numId w:val="40"/>
        </w:numPr>
        <w:ind w:left="714" w:hanging="357"/>
        <w:rPr>
          <w:rFonts w:cstheme="minorHAnsi"/>
        </w:rPr>
      </w:pPr>
      <w:r>
        <w:rPr>
          <w:rFonts w:cstheme="minorHAnsi"/>
        </w:rPr>
        <w:t>take responsibility for the collection, collation and provision of all audit, reporting and acquit</w:t>
      </w:r>
      <w:r w:rsidR="002E00E2">
        <w:rPr>
          <w:rFonts w:cstheme="minorHAnsi"/>
        </w:rPr>
        <w:t>tal documentation for the grant</w:t>
      </w:r>
    </w:p>
    <w:p w:rsidR="00D94634" w:rsidRPr="00AF2021" w:rsidRDefault="00D94634" w:rsidP="00D94634">
      <w:pPr>
        <w:pStyle w:val="Bullet1"/>
        <w:numPr>
          <w:ilvl w:val="0"/>
          <w:numId w:val="0"/>
        </w:numPr>
      </w:pPr>
      <w:r w:rsidRPr="00954442">
        <w:t>The sponsoring applicant must</w:t>
      </w:r>
      <w:r>
        <w:t xml:space="preserve"> </w:t>
      </w:r>
      <w:r w:rsidRPr="006D5D60">
        <w:t xml:space="preserve">submit </w:t>
      </w:r>
      <w:r>
        <w:t>a separate</w:t>
      </w:r>
      <w:r w:rsidRPr="006D5D60">
        <w:t xml:space="preserve"> grant application</w:t>
      </w:r>
      <w:r>
        <w:t xml:space="preserve"> for each sponsored individual or ineligible organisation. </w:t>
      </w:r>
    </w:p>
    <w:p w:rsidR="00D94634" w:rsidRDefault="00D94634" w:rsidP="00D94634">
      <w:pPr>
        <w:spacing w:before="0" w:after="0" w:line="240" w:lineRule="auto"/>
        <w:rPr>
          <w:rFonts w:cstheme="minorHAnsi"/>
        </w:rPr>
      </w:pPr>
    </w:p>
    <w:p w:rsidR="00340616" w:rsidRDefault="00340616" w:rsidP="00056305">
      <w:pPr>
        <w:pStyle w:val="Heading2Numbered"/>
      </w:pPr>
      <w:bookmarkStart w:id="24" w:name="_Toc467773957"/>
      <w:bookmarkStart w:id="25" w:name="_Toc528913501"/>
      <w:r>
        <w:t>Who is not eligible to apply for a grant?</w:t>
      </w:r>
      <w:bookmarkEnd w:id="24"/>
      <w:bookmarkEnd w:id="25"/>
    </w:p>
    <w:p w:rsidR="00340616" w:rsidRDefault="00340616" w:rsidP="00340616">
      <w:pPr>
        <w:pStyle w:val="NoSpacing"/>
        <w:rPr>
          <w:rFonts w:asciiTheme="minorHAnsi" w:hAnsiTheme="minorHAnsi" w:cstheme="minorHAnsi"/>
        </w:rPr>
      </w:pPr>
      <w:r w:rsidRPr="00A668C8">
        <w:rPr>
          <w:rFonts w:asciiTheme="minorHAnsi" w:hAnsiTheme="minorHAnsi" w:cstheme="minorHAnsi"/>
        </w:rPr>
        <w:t xml:space="preserve">You are not eligible to apply if you are: </w:t>
      </w:r>
    </w:p>
    <w:p w:rsidR="005E030F" w:rsidRDefault="005E030F" w:rsidP="005E030F">
      <w:pPr>
        <w:pStyle w:val="ListParagraph"/>
        <w:numPr>
          <w:ilvl w:val="0"/>
          <w:numId w:val="28"/>
        </w:numPr>
        <w:spacing w:before="60" w:after="60"/>
        <w:contextualSpacing/>
        <w:rPr>
          <w:rFonts w:ascii="Arial" w:hAnsi="Arial" w:cs="Arial"/>
        </w:rPr>
      </w:pPr>
      <w:r>
        <w:rPr>
          <w:rFonts w:ascii="Arial" w:hAnsi="Arial" w:cs="Arial"/>
          <w:lang w:eastAsia="en-AU"/>
        </w:rPr>
        <w:t>Partnership</w:t>
      </w:r>
    </w:p>
    <w:p w:rsidR="005E030F" w:rsidRDefault="005E030F" w:rsidP="005E030F">
      <w:pPr>
        <w:pStyle w:val="ListParagraph"/>
        <w:numPr>
          <w:ilvl w:val="0"/>
          <w:numId w:val="28"/>
        </w:numPr>
        <w:spacing w:before="60" w:after="60"/>
        <w:contextualSpacing/>
        <w:rPr>
          <w:rFonts w:ascii="Arial" w:hAnsi="Arial" w:cs="Arial"/>
        </w:rPr>
      </w:pPr>
      <w:r>
        <w:rPr>
          <w:rFonts w:ascii="Arial" w:hAnsi="Arial" w:cs="Arial"/>
        </w:rPr>
        <w:t>Sole Trader</w:t>
      </w:r>
    </w:p>
    <w:p w:rsidR="005E030F" w:rsidRDefault="006449A8" w:rsidP="005E030F">
      <w:pPr>
        <w:pStyle w:val="ListParagraph"/>
        <w:numPr>
          <w:ilvl w:val="0"/>
          <w:numId w:val="28"/>
        </w:numPr>
        <w:spacing w:before="60" w:after="60"/>
        <w:contextualSpacing/>
        <w:rPr>
          <w:rFonts w:ascii="Arial" w:hAnsi="Arial" w:cs="Arial"/>
          <w:lang w:eastAsia="en-AU"/>
        </w:rPr>
      </w:pPr>
      <w:r>
        <w:rPr>
          <w:rFonts w:ascii="Arial" w:hAnsi="Arial" w:cs="Arial"/>
          <w:lang w:eastAsia="en-AU"/>
        </w:rPr>
        <w:t>a</w:t>
      </w:r>
      <w:r w:rsidR="00CF313C">
        <w:rPr>
          <w:rFonts w:ascii="Arial" w:hAnsi="Arial" w:cs="Arial"/>
          <w:lang w:eastAsia="en-AU"/>
        </w:rPr>
        <w:t xml:space="preserve"> p</w:t>
      </w:r>
      <w:r w:rsidR="005E030F">
        <w:rPr>
          <w:rFonts w:ascii="Arial" w:hAnsi="Arial" w:cs="Arial"/>
          <w:lang w:eastAsia="en-AU"/>
        </w:rPr>
        <w:t>erson</w:t>
      </w:r>
      <w:r w:rsidR="00CF313C">
        <w:rPr>
          <w:rFonts w:ascii="Arial" w:hAnsi="Arial" w:cs="Arial"/>
          <w:lang w:eastAsia="en-AU"/>
        </w:rPr>
        <w:t xml:space="preserve"> applying in their own right</w:t>
      </w:r>
    </w:p>
    <w:p w:rsidR="005E030F" w:rsidRDefault="005E030F" w:rsidP="005E030F">
      <w:pPr>
        <w:pStyle w:val="ListParagraph"/>
        <w:numPr>
          <w:ilvl w:val="0"/>
          <w:numId w:val="28"/>
        </w:numPr>
        <w:spacing w:before="60" w:after="60"/>
        <w:contextualSpacing/>
        <w:rPr>
          <w:rFonts w:ascii="Arial" w:hAnsi="Arial" w:cs="Arial"/>
          <w:lang w:eastAsia="en-AU"/>
        </w:rPr>
      </w:pPr>
      <w:r>
        <w:rPr>
          <w:rFonts w:ascii="Arial" w:hAnsi="Arial" w:cs="Arial"/>
          <w:lang w:eastAsia="en-AU"/>
        </w:rPr>
        <w:t>International Entity</w:t>
      </w:r>
    </w:p>
    <w:p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an overseas resident</w:t>
      </w:r>
    </w:p>
    <w:p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 political party</w:t>
      </w:r>
    </w:p>
    <w:p w:rsidR="00675966" w:rsidRPr="00CC5F4A" w:rsidRDefault="00675966" w:rsidP="00CC5F4A">
      <w:pPr>
        <w:pStyle w:val="ListParagraph"/>
        <w:numPr>
          <w:ilvl w:val="0"/>
          <w:numId w:val="28"/>
        </w:numPr>
        <w:spacing w:before="60" w:after="60"/>
        <w:contextualSpacing/>
        <w:rPr>
          <w:rFonts w:ascii="Arial" w:hAnsi="Arial" w:cs="Arial"/>
          <w:lang w:eastAsia="en-AU"/>
        </w:rPr>
      </w:pPr>
      <w:r w:rsidRPr="00CC5F4A">
        <w:rPr>
          <w:rFonts w:ascii="Arial" w:hAnsi="Arial" w:cs="Arial"/>
          <w:lang w:eastAsia="en-AU"/>
        </w:rPr>
        <w:t>an organisation that has an</w:t>
      </w:r>
      <w:r w:rsidR="00D7105D">
        <w:rPr>
          <w:rFonts w:ascii="Arial" w:hAnsi="Arial" w:cs="Arial"/>
          <w:lang w:eastAsia="en-AU"/>
        </w:rPr>
        <w:t>y</w:t>
      </w:r>
      <w:r w:rsidRPr="00CC5F4A">
        <w:rPr>
          <w:rFonts w:ascii="Arial" w:hAnsi="Arial" w:cs="Arial"/>
          <w:lang w:eastAsia="en-AU"/>
        </w:rPr>
        <w:t xml:space="preserve"> outstanding acquittals for any previous DVA funding (if applicable)</w:t>
      </w:r>
    </w:p>
    <w:p w:rsidR="009E65E2" w:rsidRPr="000A271A" w:rsidRDefault="009E65E2" w:rsidP="009E65E2">
      <w:pPr>
        <w:pStyle w:val="Bullet1"/>
        <w:numPr>
          <w:ilvl w:val="0"/>
          <w:numId w:val="0"/>
        </w:numPr>
      </w:pPr>
      <w:r w:rsidRPr="0076511F">
        <w:rPr>
          <w:lang w:val="en-GB"/>
        </w:rPr>
        <w:t>Please Note: The above list is not definitive. If your entity type is not listed in 3.1 above you are not eligible to apply and your application will not be assessed.</w:t>
      </w:r>
    </w:p>
    <w:p w:rsidR="00340616" w:rsidRPr="00A668C8" w:rsidRDefault="00340616" w:rsidP="00A668C8">
      <w:pPr>
        <w:pStyle w:val="Heading1Numbered"/>
      </w:pPr>
      <w:bookmarkStart w:id="26" w:name="_Toc467773959"/>
      <w:bookmarkStart w:id="27" w:name="_Toc528913502"/>
      <w:r w:rsidRPr="00A668C8">
        <w:t>Eligible grant activities</w:t>
      </w:r>
      <w:bookmarkEnd w:id="26"/>
      <w:bookmarkEnd w:id="27"/>
    </w:p>
    <w:p w:rsidR="00340616" w:rsidRPr="00647EF0" w:rsidRDefault="00340616" w:rsidP="00056305">
      <w:pPr>
        <w:pStyle w:val="Heading2Numbered"/>
      </w:pPr>
      <w:bookmarkStart w:id="28" w:name="_Toc467773960"/>
      <w:bookmarkStart w:id="29" w:name="_Toc528913503"/>
      <w:r w:rsidRPr="00647EF0">
        <w:t xml:space="preserve">What can the grant money </w:t>
      </w:r>
      <w:proofErr w:type="gramStart"/>
      <w:r w:rsidRPr="00647EF0">
        <w:t>be</w:t>
      </w:r>
      <w:proofErr w:type="gramEnd"/>
      <w:r w:rsidRPr="00647EF0">
        <w:t xml:space="preserve"> used for?</w:t>
      </w:r>
      <w:bookmarkEnd w:id="28"/>
      <w:bookmarkEnd w:id="29"/>
    </w:p>
    <w:p w:rsidR="00985BA1" w:rsidRPr="00985BA1" w:rsidRDefault="00340616" w:rsidP="009F30A6">
      <w:pPr>
        <w:pStyle w:val="highlightedtext"/>
        <w:pBdr>
          <w:top w:val="none" w:sz="0" w:space="0" w:color="auto"/>
          <w:left w:val="none" w:sz="0" w:space="0" w:color="auto"/>
          <w:bottom w:val="none" w:sz="0" w:space="0" w:color="auto"/>
          <w:right w:val="none" w:sz="0" w:space="0" w:color="auto"/>
        </w:pBdr>
        <w:jc w:val="left"/>
        <w:rPr>
          <w:b w:val="0"/>
          <w:color w:val="auto"/>
          <w:lang/>
        </w:rPr>
      </w:pPr>
      <w:r w:rsidRPr="00547413">
        <w:rPr>
          <w:rFonts w:cstheme="minorHAnsi"/>
          <w:b w:val="0"/>
          <w:color w:val="auto"/>
        </w:rPr>
        <w:t xml:space="preserve">To be eligible your project </w:t>
      </w:r>
      <w:r w:rsidR="0025776D">
        <w:rPr>
          <w:rFonts w:cstheme="minorHAnsi"/>
          <w:b w:val="0"/>
          <w:color w:val="auto"/>
        </w:rPr>
        <w:t>must</w:t>
      </w:r>
      <w:r w:rsidR="00C72B66" w:rsidRPr="00547413">
        <w:rPr>
          <w:color w:val="auto"/>
        </w:rPr>
        <w:t xml:space="preserve"> </w:t>
      </w:r>
      <w:r w:rsidR="00547413" w:rsidRPr="00547413">
        <w:rPr>
          <w:b w:val="0"/>
          <w:color w:val="auto"/>
        </w:rPr>
        <w:t xml:space="preserve">be </w:t>
      </w:r>
      <w:r w:rsidR="00985BA1" w:rsidRPr="00547413">
        <w:rPr>
          <w:b w:val="0"/>
          <w:color w:val="auto"/>
          <w:lang/>
        </w:rPr>
        <w:t>significant</w:t>
      </w:r>
      <w:r w:rsidR="00547413" w:rsidRPr="00547413">
        <w:rPr>
          <w:b w:val="0"/>
          <w:color w:val="auto"/>
          <w:lang/>
        </w:rPr>
        <w:t xml:space="preserve">, from a national, state or territory perspective and contribute to Australia’s understanding of its wartime heritage and </w:t>
      </w:r>
      <w:proofErr w:type="spellStart"/>
      <w:r w:rsidR="00547413" w:rsidRPr="00547413">
        <w:rPr>
          <w:b w:val="0"/>
          <w:color w:val="auto"/>
          <w:lang/>
        </w:rPr>
        <w:t>honour</w:t>
      </w:r>
      <w:proofErr w:type="spellEnd"/>
      <w:r w:rsidR="00547413" w:rsidRPr="00547413">
        <w:rPr>
          <w:b w:val="0"/>
          <w:color w:val="auto"/>
          <w:lang/>
        </w:rPr>
        <w:t xml:space="preserve"> the service and sacrifice of its service</w:t>
      </w:r>
      <w:r w:rsidR="006F7743">
        <w:rPr>
          <w:b w:val="0"/>
          <w:color w:val="auto"/>
          <w:lang/>
        </w:rPr>
        <w:t xml:space="preserve"> personnel</w:t>
      </w:r>
      <w:r w:rsidR="00547413" w:rsidRPr="00547413">
        <w:rPr>
          <w:b w:val="0"/>
          <w:color w:val="auto"/>
          <w:lang/>
        </w:rPr>
        <w:t>.</w:t>
      </w:r>
      <w:r w:rsidR="0073469E">
        <w:rPr>
          <w:b w:val="0"/>
          <w:color w:val="auto"/>
          <w:lang/>
        </w:rPr>
        <w:t xml:space="preserve"> For a project to be considered </w:t>
      </w:r>
      <w:r w:rsidR="00B7482C">
        <w:rPr>
          <w:b w:val="0"/>
          <w:color w:val="auto"/>
          <w:lang/>
        </w:rPr>
        <w:t>significant,</w:t>
      </w:r>
      <w:r w:rsidR="0073469E">
        <w:rPr>
          <w:b w:val="0"/>
          <w:color w:val="auto"/>
          <w:lang/>
        </w:rPr>
        <w:t xml:space="preserve"> its focus should be wider than the local community and be available to a larger audience.</w:t>
      </w:r>
    </w:p>
    <w:p w:rsidR="00664345" w:rsidRDefault="00664345" w:rsidP="00647EF0">
      <w:pPr>
        <w:rPr>
          <w:rFonts w:cstheme="minorHAnsi"/>
          <w:b/>
        </w:rPr>
      </w:pPr>
    </w:p>
    <w:p w:rsidR="00647EF0" w:rsidRDefault="00CE5B04" w:rsidP="00647EF0">
      <w:pPr>
        <w:rPr>
          <w:rFonts w:cstheme="minorHAnsi"/>
          <w:b/>
        </w:rPr>
      </w:pPr>
      <w:r w:rsidRPr="00E76149">
        <w:rPr>
          <w:rFonts w:cstheme="minorHAnsi"/>
          <w:b/>
        </w:rPr>
        <w:t xml:space="preserve">The list below provides a guide to eligible grant </w:t>
      </w:r>
      <w:r w:rsidR="00FC3146" w:rsidRPr="00E76149">
        <w:rPr>
          <w:rFonts w:cstheme="minorHAnsi"/>
          <w:b/>
        </w:rPr>
        <w:t>projects</w:t>
      </w:r>
      <w:r w:rsidR="00647EF0">
        <w:rPr>
          <w:rFonts w:cstheme="minorHAnsi"/>
          <w:b/>
        </w:rPr>
        <w:t>:</w:t>
      </w:r>
    </w:p>
    <w:p w:rsidR="0014459E" w:rsidRDefault="0014459E" w:rsidP="00647EF0">
      <w:pPr>
        <w:pStyle w:val="Bullet1"/>
      </w:pPr>
      <w:r>
        <w:t xml:space="preserve">New national / state / territory or otherwise significant war memorials where none exists and where the new memorial will be the focus of commemoration. </w:t>
      </w:r>
    </w:p>
    <w:p w:rsidR="009C6945" w:rsidRDefault="009C6945" w:rsidP="00C72B66">
      <w:pPr>
        <w:pStyle w:val="Bullet1"/>
      </w:pPr>
      <w:r>
        <w:lastRenderedPageBreak/>
        <w:t>New honour boards/rolls or plaques</w:t>
      </w:r>
    </w:p>
    <w:p w:rsidR="00D71B56" w:rsidRPr="00C72B66" w:rsidRDefault="00D71B56" w:rsidP="00C72B66">
      <w:pPr>
        <w:pStyle w:val="Bullet1"/>
      </w:pPr>
      <w:r w:rsidRPr="00C72B66">
        <w:t>The restoration of existing national / state / territory or other</w:t>
      </w:r>
      <w:r w:rsidR="00574B5D">
        <w:t>wise significant war memorials</w:t>
      </w:r>
    </w:p>
    <w:p w:rsidR="00D71B56" w:rsidRPr="00452A68" w:rsidRDefault="00D71B56" w:rsidP="00452A68">
      <w:pPr>
        <w:pStyle w:val="Bullet1"/>
        <w:rPr>
          <w:rFonts w:cstheme="minorHAnsi"/>
        </w:rPr>
      </w:pPr>
      <w:r w:rsidRPr="00452A68">
        <w:t>Significant (national / state / territory level) commemorative events</w:t>
      </w:r>
      <w:r w:rsidR="00452A68" w:rsidRPr="00452A68">
        <w:t xml:space="preserve"> </w:t>
      </w:r>
      <w:r w:rsidR="00452A68" w:rsidRPr="00452A68">
        <w:rPr>
          <w:rFonts w:cstheme="minorHAnsi"/>
        </w:rPr>
        <w:t xml:space="preserve">(The event should be held within one month of the </w:t>
      </w:r>
      <w:r w:rsidR="00574B5D">
        <w:rPr>
          <w:rFonts w:cstheme="minorHAnsi"/>
        </w:rPr>
        <w:t>anniversary being commemorated)</w:t>
      </w:r>
    </w:p>
    <w:p w:rsidR="00995116" w:rsidRDefault="00D71B56" w:rsidP="00AA18A8">
      <w:pPr>
        <w:pStyle w:val="Bullet1"/>
      </w:pPr>
      <w:r w:rsidRPr="00C72B66">
        <w:t>Nationally significant cultural and educational projects with a military heritage focus and that add to the sum of knowledge on a particular topic or which provide access to information about Australia’s wartime heritage to a nation</w:t>
      </w:r>
      <w:r w:rsidR="00574B5D">
        <w:t>al / state / territory audience</w:t>
      </w:r>
    </w:p>
    <w:p w:rsidR="00340616" w:rsidRPr="00E76149" w:rsidRDefault="0000318D" w:rsidP="00340616">
      <w:pPr>
        <w:rPr>
          <w:rFonts w:cstheme="minorHAnsi"/>
          <w:b/>
        </w:rPr>
      </w:pPr>
      <w:r>
        <w:rPr>
          <w:rFonts w:cstheme="minorHAnsi"/>
          <w:b/>
        </w:rPr>
        <w:t xml:space="preserve"> </w:t>
      </w:r>
      <w:r w:rsidR="00F2428B">
        <w:rPr>
          <w:rFonts w:cstheme="minorHAnsi"/>
          <w:b/>
        </w:rPr>
        <w:t xml:space="preserve">The grant can be used to pay for the following, but is not limited to: </w:t>
      </w:r>
    </w:p>
    <w:p w:rsidR="00340616" w:rsidRPr="00F818AF" w:rsidRDefault="00FC3146" w:rsidP="00AA18A8">
      <w:pPr>
        <w:pStyle w:val="Bullet1"/>
        <w:spacing w:after="20"/>
      </w:pPr>
      <w:r w:rsidRPr="00F818AF">
        <w:t>Audio and visual equipment hire</w:t>
      </w:r>
    </w:p>
    <w:p w:rsidR="00FC3146" w:rsidRPr="00F818AF" w:rsidRDefault="00FC3146" w:rsidP="00AA18A8">
      <w:pPr>
        <w:pStyle w:val="Bullet1"/>
        <w:spacing w:after="20"/>
      </w:pPr>
      <w:r w:rsidRPr="00F818AF">
        <w:t>Display cabinets for the display of wartime memorabilia</w:t>
      </w:r>
    </w:p>
    <w:p w:rsidR="00FC3146" w:rsidRDefault="00FC3146" w:rsidP="00AA18A8">
      <w:pPr>
        <w:pStyle w:val="Bullet1"/>
        <w:spacing w:after="20"/>
      </w:pPr>
      <w:r w:rsidRPr="00F818AF">
        <w:t>Equipment hire (</w:t>
      </w:r>
      <w:r w:rsidR="00B51085">
        <w:t>i.e.</w:t>
      </w:r>
      <w:r w:rsidRPr="00F818AF">
        <w:t xml:space="preserve"> chairs, marquee, PA system)</w:t>
      </w:r>
      <w:r w:rsidR="00E43409" w:rsidRPr="00E43409">
        <w:t xml:space="preserve"> </w:t>
      </w:r>
      <w:r w:rsidRPr="00E43409">
        <w:t>Note</w:t>
      </w:r>
      <w:r w:rsidRPr="00EB3BAB">
        <w:rPr>
          <w:b/>
        </w:rPr>
        <w:t>:</w:t>
      </w:r>
      <w:r w:rsidRPr="00F818AF">
        <w:t xml:space="preserve"> For commemorative events only</w:t>
      </w:r>
    </w:p>
    <w:p w:rsidR="00E903C2" w:rsidRDefault="00E903C2" w:rsidP="00AA18A8">
      <w:pPr>
        <w:pStyle w:val="Bullet1"/>
        <w:numPr>
          <w:ilvl w:val="0"/>
          <w:numId w:val="45"/>
        </w:numPr>
        <w:spacing w:after="20"/>
      </w:pPr>
      <w:r>
        <w:t xml:space="preserve">Flagpole (one only) where none already exists – Supply and Installation, to fly the Australian National Flag on days of commemoration. Note: Maximum available amount for this item is $1,500 </w:t>
      </w:r>
    </w:p>
    <w:p w:rsidR="00E903C2" w:rsidRDefault="00E903C2" w:rsidP="00AA18A8">
      <w:pPr>
        <w:pStyle w:val="Bullet1"/>
        <w:numPr>
          <w:ilvl w:val="0"/>
          <w:numId w:val="45"/>
        </w:numPr>
        <w:spacing w:after="20"/>
      </w:pPr>
      <w:r>
        <w:t xml:space="preserve">Flagpole (one only) where none already exists – Supply only, to fly the Australian National Flag on days of commemoration. Note: Maximum available amount for this item is $1,000 </w:t>
      </w:r>
    </w:p>
    <w:p w:rsidR="00FC3146" w:rsidRDefault="00FC3146" w:rsidP="00AA18A8">
      <w:pPr>
        <w:pStyle w:val="Bullet1"/>
        <w:spacing w:after="20"/>
      </w:pPr>
      <w:r w:rsidRPr="00F818AF">
        <w:t>Honour boards / rolls new or restoration of (including digital honour boards / rolls)</w:t>
      </w:r>
    </w:p>
    <w:p w:rsidR="00E45FD0" w:rsidRDefault="00E45FD0" w:rsidP="00AA18A8">
      <w:pPr>
        <w:pStyle w:val="Bullet1"/>
        <w:spacing w:after="20"/>
      </w:pPr>
      <w:r w:rsidRPr="00F818AF">
        <w:t>Interpretive signage (</w:t>
      </w:r>
      <w:r w:rsidR="00B51085">
        <w:t>i.e</w:t>
      </w:r>
      <w:r w:rsidRPr="00F818AF">
        <w:t>. descrip</w:t>
      </w:r>
      <w:r>
        <w:t>tion of memorabilia on display)</w:t>
      </w:r>
    </w:p>
    <w:p w:rsidR="00E45FD0" w:rsidRDefault="00E45FD0" w:rsidP="00AA18A8">
      <w:pPr>
        <w:pStyle w:val="Bullet1"/>
        <w:spacing w:after="20"/>
      </w:pPr>
      <w:r w:rsidRPr="00F818AF">
        <w:t xml:space="preserve">Landscaping </w:t>
      </w:r>
      <w:r w:rsidR="00E43409">
        <w:t xml:space="preserve">/ Gardening (i.e. trees, shrubs, paving). Note: Must be within </w:t>
      </w:r>
      <w:r w:rsidRPr="00F818AF">
        <w:t>the immediate surro</w:t>
      </w:r>
      <w:r>
        <w:t>unds of memorials only</w:t>
      </w:r>
    </w:p>
    <w:p w:rsidR="00E45FD0" w:rsidRPr="00F818AF" w:rsidRDefault="00E45FD0" w:rsidP="00AA18A8">
      <w:pPr>
        <w:pStyle w:val="Bullet1"/>
        <w:spacing w:after="20"/>
      </w:pPr>
      <w:r w:rsidRPr="00F818AF">
        <w:t>Lighting (</w:t>
      </w:r>
      <w:r w:rsidR="00B51085">
        <w:t>i.e</w:t>
      </w:r>
      <w:r w:rsidRPr="00F818AF">
        <w:t>. for display cabinets, cenotap</w:t>
      </w:r>
      <w:r>
        <w:t>hs, memorial security lighting)</w:t>
      </w:r>
    </w:p>
    <w:p w:rsidR="00F818AF" w:rsidRDefault="00F818AF" w:rsidP="00AA18A8">
      <w:pPr>
        <w:pStyle w:val="Bullet1"/>
        <w:spacing w:after="20"/>
      </w:pPr>
      <w:r w:rsidRPr="00F818AF">
        <w:t>Memorials, cenotaphs &amp; plinths (new and restoration of)</w:t>
      </w:r>
    </w:p>
    <w:p w:rsidR="00931A2A" w:rsidRDefault="00931A2A" w:rsidP="00AA18A8">
      <w:pPr>
        <w:pStyle w:val="Bullet1"/>
        <w:spacing w:after="20"/>
      </w:pPr>
      <w:r>
        <w:t>Monuments and Statues</w:t>
      </w:r>
    </w:p>
    <w:p w:rsidR="00E45FD0" w:rsidRDefault="00E45FD0" w:rsidP="00AA18A8">
      <w:pPr>
        <w:pStyle w:val="Bullet1"/>
        <w:spacing w:after="20"/>
      </w:pPr>
      <w:r w:rsidRPr="00F818AF">
        <w:t>P</w:t>
      </w:r>
      <w:r>
        <w:t>laques (new and restoration of)</w:t>
      </w:r>
    </w:p>
    <w:p w:rsidR="00F818AF" w:rsidRDefault="00F818AF" w:rsidP="00AA18A8">
      <w:pPr>
        <w:pStyle w:val="Bullet1"/>
        <w:spacing w:after="20"/>
      </w:pPr>
      <w:r w:rsidRPr="00F818AF">
        <w:t>Printing of commemorative booklets / orders of service</w:t>
      </w:r>
    </w:p>
    <w:p w:rsidR="00523CEC" w:rsidRPr="00B7482C" w:rsidRDefault="00523CEC" w:rsidP="00AA18A8">
      <w:pPr>
        <w:pStyle w:val="Bullet1"/>
        <w:spacing w:after="20"/>
      </w:pPr>
      <w:r w:rsidRPr="00BB7834">
        <w:rPr>
          <w:rFonts w:cs="Arial"/>
        </w:rPr>
        <w:t xml:space="preserve">Publishing </w:t>
      </w:r>
      <w:r>
        <w:rPr>
          <w:rFonts w:cs="Arial"/>
        </w:rPr>
        <w:t>and</w:t>
      </w:r>
      <w:r w:rsidRPr="00BB7834">
        <w:rPr>
          <w:rFonts w:cs="Arial"/>
        </w:rPr>
        <w:t xml:space="preserve"> editing costs</w:t>
      </w:r>
    </w:p>
    <w:p w:rsidR="00B7482C" w:rsidRDefault="00B7482C" w:rsidP="00AA18A8">
      <w:pPr>
        <w:pStyle w:val="Bullet1"/>
        <w:spacing w:before="0" w:after="20"/>
      </w:pPr>
      <w:r>
        <w:rPr>
          <w:rFonts w:cs="Arial"/>
        </w:rPr>
        <w:t xml:space="preserve">Research expenses </w:t>
      </w:r>
      <w:r w:rsidRPr="00326F29">
        <w:rPr>
          <w:rFonts w:cs="Arial"/>
          <w:i/>
        </w:rPr>
        <w:t xml:space="preserve">(i.e. photocopying, postage, the purchase of photographs </w:t>
      </w:r>
      <w:r>
        <w:rPr>
          <w:rFonts w:cs="Arial"/>
          <w:i/>
        </w:rPr>
        <w:t>from Australian War Memorial etc providing that the research expenses are not the majority of the costs of the project)</w:t>
      </w:r>
    </w:p>
    <w:p w:rsidR="00F818AF" w:rsidRPr="00F818AF" w:rsidRDefault="00F818AF" w:rsidP="00AA18A8">
      <w:pPr>
        <w:pStyle w:val="Bullet1"/>
        <w:spacing w:after="20"/>
      </w:pPr>
      <w:r w:rsidRPr="00F818AF">
        <w:t>Venue hire</w:t>
      </w:r>
    </w:p>
    <w:p w:rsidR="00F818AF" w:rsidRPr="00F818AF" w:rsidRDefault="00F818AF" w:rsidP="00AA18A8">
      <w:pPr>
        <w:pStyle w:val="Bullet1"/>
        <w:spacing w:after="20"/>
      </w:pPr>
      <w:r w:rsidRPr="00F818AF">
        <w:t>Wreaths (maximum of two</w:t>
      </w:r>
      <w:r w:rsidR="00AD167E">
        <w:t xml:space="preserve">). Note: limit of </w:t>
      </w:r>
      <w:r w:rsidRPr="00F818AF">
        <w:t xml:space="preserve">$100 </w:t>
      </w:r>
      <w:r w:rsidR="00574B5D">
        <w:t>per wreath</w:t>
      </w:r>
    </w:p>
    <w:p w:rsidR="00340616" w:rsidRDefault="00340616" w:rsidP="00340616">
      <w:pPr>
        <w:spacing w:after="0" w:line="240" w:lineRule="auto"/>
        <w:contextualSpacing/>
        <w:rPr>
          <w:rFonts w:cstheme="minorHAnsi"/>
        </w:rPr>
      </w:pPr>
      <w:r w:rsidRPr="000A271A">
        <w:rPr>
          <w:rFonts w:cstheme="minorHAnsi"/>
        </w:rPr>
        <w:t>You can only spend grant funds on eligible grant activities as defined in the grant d</w:t>
      </w:r>
      <w:r w:rsidR="00574B5D">
        <w:rPr>
          <w:rFonts w:cstheme="minorHAnsi"/>
        </w:rPr>
        <w:t>etails in your grant agreement</w:t>
      </w:r>
      <w:r w:rsidR="002E00E2">
        <w:rPr>
          <w:rFonts w:cstheme="minorHAnsi"/>
        </w:rPr>
        <w:t>.</w:t>
      </w:r>
    </w:p>
    <w:p w:rsidR="00340616" w:rsidRPr="000A271A" w:rsidRDefault="00340616" w:rsidP="00E76149">
      <w:pPr>
        <w:pStyle w:val="NoSpacing"/>
        <w:rPr>
          <w:rFonts w:asciiTheme="minorHAnsi" w:hAnsiTheme="minorHAnsi" w:cstheme="minorHAnsi"/>
          <w:highlight w:val="lightGray"/>
        </w:rPr>
      </w:pPr>
    </w:p>
    <w:p w:rsidR="00340616" w:rsidRPr="00B72EE8" w:rsidRDefault="00340616" w:rsidP="00056305">
      <w:pPr>
        <w:pStyle w:val="Heading2Numbered"/>
      </w:pPr>
      <w:bookmarkStart w:id="30" w:name="_Toc467773961"/>
      <w:bookmarkStart w:id="31" w:name="_Toc528913504"/>
      <w:r w:rsidRPr="00B72EE8">
        <w:lastRenderedPageBreak/>
        <w:t xml:space="preserve">What </w:t>
      </w:r>
      <w:r>
        <w:t>the grant money cannot be used for?</w:t>
      </w:r>
      <w:bookmarkEnd w:id="30"/>
      <w:bookmarkEnd w:id="31"/>
    </w:p>
    <w:p w:rsidR="00340616" w:rsidRPr="00E76149" w:rsidRDefault="00340616" w:rsidP="00340616">
      <w:pPr>
        <w:rPr>
          <w:rFonts w:cstheme="minorHAnsi"/>
          <w:b/>
        </w:rPr>
      </w:pPr>
      <w:r w:rsidRPr="00E76149">
        <w:rPr>
          <w:rFonts w:cstheme="minorHAnsi"/>
          <w:b/>
        </w:rPr>
        <w:t xml:space="preserve">You cannot use the grant for the following activities: </w:t>
      </w:r>
    </w:p>
    <w:p w:rsidR="00E76149" w:rsidRDefault="00E76149" w:rsidP="00E76149">
      <w:pPr>
        <w:pStyle w:val="Bullet1"/>
      </w:pPr>
      <w:r>
        <w:t>Projects of a commercial nature/projects for profit</w:t>
      </w:r>
    </w:p>
    <w:p w:rsidR="00E76149" w:rsidRDefault="00E76149" w:rsidP="00E76149">
      <w:pPr>
        <w:pStyle w:val="Bullet1"/>
      </w:pPr>
      <w:r>
        <w:t>Projects undertaken outside of Australia</w:t>
      </w:r>
    </w:p>
    <w:p w:rsidR="00E76149" w:rsidRDefault="00E76149" w:rsidP="00E76149">
      <w:pPr>
        <w:pStyle w:val="Bullet1"/>
      </w:pPr>
      <w:r>
        <w:t>Projects exclusively commemorating animals</w:t>
      </w:r>
    </w:p>
    <w:p w:rsidR="00E76149" w:rsidRDefault="00E76149" w:rsidP="00E76149">
      <w:pPr>
        <w:pStyle w:val="Bullet1"/>
      </w:pPr>
      <w:r>
        <w:t>Projects commemorating individuals</w:t>
      </w:r>
    </w:p>
    <w:p w:rsidR="00326F29" w:rsidRDefault="00326F29" w:rsidP="00E76149">
      <w:pPr>
        <w:pStyle w:val="Bullet1"/>
      </w:pPr>
      <w:r>
        <w:t xml:space="preserve">Projects commemorating the post war deaths of service </w:t>
      </w:r>
      <w:r w:rsidR="005349C6">
        <w:t>personnel</w:t>
      </w:r>
    </w:p>
    <w:p w:rsidR="00EB3BAB" w:rsidRDefault="00547413" w:rsidP="00547413">
      <w:pPr>
        <w:pStyle w:val="Bullet1"/>
      </w:pPr>
      <w:r>
        <w:t>Sporting events</w:t>
      </w:r>
    </w:p>
    <w:p w:rsidR="00995116" w:rsidRPr="001178AA" w:rsidRDefault="00EB3BAB" w:rsidP="001178AA">
      <w:pPr>
        <w:pStyle w:val="Bullet1"/>
        <w:rPr>
          <w:rStyle w:val="highlightedtextChar"/>
          <w:rFonts w:cstheme="minorHAnsi"/>
        </w:rPr>
      </w:pPr>
      <w:r w:rsidRPr="00BB7834">
        <w:rPr>
          <w:rFonts w:cs="Arial"/>
        </w:rPr>
        <w:t xml:space="preserve">Recurring events / activities </w:t>
      </w:r>
      <w:r w:rsidRPr="00797517">
        <w:rPr>
          <w:rFonts w:cs="Arial"/>
        </w:rPr>
        <w:t>e.g. Anzac Day, Remembrance Day, Vietnam Veterans’ Day, National Service Day except where the event relates to a significant anniversary</w:t>
      </w:r>
    </w:p>
    <w:p w:rsidR="00340616" w:rsidRPr="00E76149" w:rsidRDefault="0066124F" w:rsidP="00340616">
      <w:pPr>
        <w:rPr>
          <w:rFonts w:cstheme="minorHAnsi"/>
          <w:b/>
        </w:rPr>
      </w:pPr>
      <w:r>
        <w:rPr>
          <w:rFonts w:cstheme="minorHAnsi"/>
          <w:b/>
        </w:rPr>
        <w:t xml:space="preserve">Expenditure items that are not </w:t>
      </w:r>
      <w:r w:rsidR="00E76149" w:rsidRPr="00E76149">
        <w:rPr>
          <w:rFonts w:cstheme="minorHAnsi"/>
          <w:b/>
        </w:rPr>
        <w:t>eligible include</w:t>
      </w:r>
      <w:r w:rsidR="00340616" w:rsidRPr="00E76149">
        <w:rPr>
          <w:rFonts w:cstheme="minorHAnsi"/>
          <w:b/>
        </w:rPr>
        <w:t xml:space="preserve">: </w:t>
      </w:r>
    </w:p>
    <w:p w:rsidR="00E76149" w:rsidRDefault="00E76149" w:rsidP="001178AA">
      <w:pPr>
        <w:pStyle w:val="Bullet1"/>
        <w:spacing w:before="0"/>
      </w:pPr>
      <w:r>
        <w:t>Capital expenditure for the purchase of assets such as office furniture and equipment, motor vehicles, computers, printers or photocopiers</w:t>
      </w:r>
    </w:p>
    <w:p w:rsidR="00E76149" w:rsidRDefault="00EB3BAB" w:rsidP="001178AA">
      <w:pPr>
        <w:pStyle w:val="Bullet1"/>
        <w:spacing w:before="0"/>
      </w:pPr>
      <w:r>
        <w:t>Construction of or fit out, alterations and/or extensions to premises including museums, memorial halls and sporting facilities</w:t>
      </w:r>
    </w:p>
    <w:p w:rsidR="00EB3BAB" w:rsidRDefault="00F86545" w:rsidP="001178AA">
      <w:pPr>
        <w:pStyle w:val="Bullet1"/>
        <w:spacing w:before="0"/>
      </w:pPr>
      <w:r>
        <w:t>Salaries</w:t>
      </w:r>
      <w:r w:rsidR="00EB3BAB">
        <w:t>/wages</w:t>
      </w:r>
    </w:p>
    <w:p w:rsidR="00EB3BAB" w:rsidRPr="00EB3BAB" w:rsidRDefault="00EB3BAB" w:rsidP="001178AA">
      <w:pPr>
        <w:pStyle w:val="Bullet1"/>
        <w:spacing w:before="0"/>
      </w:pPr>
      <w:r w:rsidRPr="00BB7834">
        <w:rPr>
          <w:rFonts w:cs="Arial"/>
        </w:rPr>
        <w:t>Costs incurred in the pr</w:t>
      </w:r>
      <w:r>
        <w:rPr>
          <w:rFonts w:cs="Arial"/>
        </w:rPr>
        <w:t xml:space="preserve">eparation of a grant application or </w:t>
      </w:r>
      <w:r w:rsidRPr="00BB7834">
        <w:rPr>
          <w:rFonts w:cs="Arial"/>
        </w:rPr>
        <w:t>related documentation</w:t>
      </w:r>
    </w:p>
    <w:p w:rsidR="00EB3BAB" w:rsidRPr="00EB3BAB" w:rsidRDefault="00EB3BAB" w:rsidP="001178AA">
      <w:pPr>
        <w:pStyle w:val="Bullet1"/>
        <w:spacing w:before="0"/>
      </w:pPr>
      <w:r w:rsidRPr="00BB7834">
        <w:rPr>
          <w:rFonts w:cs="Arial"/>
        </w:rPr>
        <w:t>Council approval costs</w:t>
      </w:r>
    </w:p>
    <w:p w:rsidR="00EB3BAB" w:rsidRPr="00326F29" w:rsidRDefault="00EB3BAB" w:rsidP="001178AA">
      <w:pPr>
        <w:pStyle w:val="Bullet1"/>
        <w:spacing w:before="0"/>
      </w:pPr>
      <w:r w:rsidRPr="00AD221F">
        <w:rPr>
          <w:rFonts w:cs="Arial"/>
        </w:rPr>
        <w:t xml:space="preserve">Educational materials where DVA already provides </w:t>
      </w:r>
      <w:r>
        <w:rPr>
          <w:rFonts w:cs="Arial"/>
        </w:rPr>
        <w:t xml:space="preserve">similar </w:t>
      </w:r>
      <w:r w:rsidRPr="00AD221F">
        <w:rPr>
          <w:rFonts w:cs="Arial"/>
        </w:rPr>
        <w:t>resources for schools</w:t>
      </w:r>
    </w:p>
    <w:p w:rsidR="00326F29" w:rsidRPr="00326F29" w:rsidRDefault="00326F29" w:rsidP="001178AA">
      <w:pPr>
        <w:pStyle w:val="Bullet1"/>
        <w:spacing w:before="0"/>
      </w:pPr>
      <w:r>
        <w:rPr>
          <w:rFonts w:cs="Arial"/>
        </w:rPr>
        <w:t>Entertainment not of a commemorative nature</w:t>
      </w:r>
    </w:p>
    <w:p w:rsidR="00326F29" w:rsidRPr="00EB3BAB" w:rsidRDefault="00326F29" w:rsidP="001178AA">
      <w:pPr>
        <w:pStyle w:val="Bullet1"/>
        <w:spacing w:before="0"/>
      </w:pPr>
      <w:r>
        <w:rPr>
          <w:rFonts w:cs="Arial"/>
        </w:rPr>
        <w:t>Fireworks</w:t>
      </w:r>
    </w:p>
    <w:p w:rsidR="00EB3BAB" w:rsidRPr="00EB3BAB" w:rsidRDefault="00EB3BAB" w:rsidP="001178AA">
      <w:pPr>
        <w:pStyle w:val="Bullet1"/>
        <w:spacing w:before="0"/>
      </w:pPr>
      <w:r w:rsidRPr="00AD221F">
        <w:rPr>
          <w:rFonts w:cs="Arial"/>
        </w:rPr>
        <w:t>General ongoing administration costs of an organisation such as electricity, phone and rent</w:t>
      </w:r>
    </w:p>
    <w:p w:rsidR="00EB3BAB" w:rsidRPr="00EB3BAB" w:rsidRDefault="00EB3BAB" w:rsidP="001178AA">
      <w:pPr>
        <w:pStyle w:val="Bullet1"/>
        <w:spacing w:before="0"/>
      </w:pPr>
      <w:r>
        <w:rPr>
          <w:rFonts w:cs="Arial"/>
        </w:rPr>
        <w:t>O</w:t>
      </w:r>
      <w:r w:rsidRPr="00BB7834">
        <w:rPr>
          <w:rFonts w:cs="Arial"/>
        </w:rPr>
        <w:t>ngoing expenditure</w:t>
      </w:r>
      <w:r>
        <w:rPr>
          <w:rFonts w:cs="Arial"/>
        </w:rPr>
        <w:t xml:space="preserve"> (</w:t>
      </w:r>
      <w:r w:rsidRPr="00B231E8">
        <w:rPr>
          <w:rFonts w:cs="Arial"/>
          <w:i/>
        </w:rPr>
        <w:t>e.g. website hosting, memorial maintenance)</w:t>
      </w:r>
    </w:p>
    <w:p w:rsidR="00EB3BAB" w:rsidRPr="00EB3BAB" w:rsidRDefault="00EB3BAB" w:rsidP="001178AA">
      <w:pPr>
        <w:pStyle w:val="Bullet1"/>
        <w:spacing w:before="0"/>
      </w:pPr>
      <w:r w:rsidRPr="00BB7834">
        <w:rPr>
          <w:rFonts w:cs="Arial"/>
        </w:rPr>
        <w:t>Catering and refreshments</w:t>
      </w:r>
    </w:p>
    <w:p w:rsidR="00EB3BAB" w:rsidRDefault="005D60DC" w:rsidP="001178AA">
      <w:pPr>
        <w:pStyle w:val="Bullet1"/>
        <w:spacing w:before="0"/>
      </w:pPr>
      <w:r>
        <w:t xml:space="preserve">Eligible items already purchased or ordered </w:t>
      </w:r>
    </w:p>
    <w:p w:rsidR="00EB3BAB" w:rsidRPr="00EB3BAB" w:rsidRDefault="00EB3BAB" w:rsidP="001178AA">
      <w:pPr>
        <w:pStyle w:val="Bullet1"/>
        <w:spacing w:before="0"/>
      </w:pPr>
      <w:r w:rsidRPr="00AD221F">
        <w:rPr>
          <w:rFonts w:cs="Arial"/>
        </w:rPr>
        <w:t>Events to mark training, enlistment or graduation</w:t>
      </w:r>
    </w:p>
    <w:p w:rsidR="00EB3BAB" w:rsidRPr="00EB3BAB" w:rsidRDefault="00EB3BAB" w:rsidP="001178AA">
      <w:pPr>
        <w:pStyle w:val="Bullet1"/>
        <w:spacing w:before="0"/>
      </w:pPr>
      <w:r w:rsidRPr="00AD221F">
        <w:rPr>
          <w:rFonts w:cs="Arial"/>
        </w:rPr>
        <w:t xml:space="preserve">Events to mark the formation </w:t>
      </w:r>
      <w:r>
        <w:rPr>
          <w:rFonts w:cs="Arial"/>
        </w:rPr>
        <w:t xml:space="preserve">or anniversaries of </w:t>
      </w:r>
      <w:r w:rsidRPr="00AD221F">
        <w:rPr>
          <w:rFonts w:cs="Arial"/>
        </w:rPr>
        <w:t>association</w:t>
      </w:r>
      <w:r>
        <w:rPr>
          <w:rFonts w:cs="Arial"/>
        </w:rPr>
        <w:t>s</w:t>
      </w:r>
      <w:r w:rsidRPr="00AD221F">
        <w:rPr>
          <w:rFonts w:cs="Arial"/>
        </w:rPr>
        <w:t xml:space="preserve"> or ex-service organisations</w:t>
      </w:r>
    </w:p>
    <w:p w:rsidR="00EB3BAB" w:rsidRPr="00326F29" w:rsidRDefault="00EB3BAB" w:rsidP="001178AA">
      <w:pPr>
        <w:pStyle w:val="Bullet1"/>
        <w:spacing w:before="0"/>
      </w:pPr>
      <w:r w:rsidRPr="00AD221F">
        <w:rPr>
          <w:rFonts w:cs="Arial"/>
        </w:rPr>
        <w:t xml:space="preserve">Honour boards or plaques acknowledging membership or service </w:t>
      </w:r>
      <w:r>
        <w:rPr>
          <w:rFonts w:cs="Arial"/>
        </w:rPr>
        <w:t>of</w:t>
      </w:r>
      <w:r w:rsidRPr="00AD221F">
        <w:rPr>
          <w:rFonts w:cs="Arial"/>
        </w:rPr>
        <w:t xml:space="preserve"> an ex-service organisation</w:t>
      </w:r>
    </w:p>
    <w:p w:rsidR="00EB3BAB" w:rsidRPr="00EB3BAB" w:rsidRDefault="00EB3BAB" w:rsidP="001178AA">
      <w:pPr>
        <w:pStyle w:val="Bullet1"/>
        <w:spacing w:before="0"/>
      </w:pPr>
      <w:r w:rsidRPr="00BB7834">
        <w:rPr>
          <w:rFonts w:cs="Arial"/>
        </w:rPr>
        <w:t>Memorabilia</w:t>
      </w:r>
      <w:r>
        <w:rPr>
          <w:rFonts w:cs="Arial"/>
        </w:rPr>
        <w:t xml:space="preserve"> </w:t>
      </w:r>
      <w:r w:rsidRPr="00326F29">
        <w:rPr>
          <w:rFonts w:cs="Arial"/>
          <w:i/>
        </w:rPr>
        <w:t>(purchase of)</w:t>
      </w:r>
    </w:p>
    <w:p w:rsidR="00EB3BAB" w:rsidRPr="00326F29" w:rsidRDefault="00EB3BAB" w:rsidP="001178AA">
      <w:pPr>
        <w:pStyle w:val="Bullet1"/>
        <w:spacing w:before="0"/>
      </w:pPr>
      <w:r>
        <w:rPr>
          <w:rFonts w:cs="Arial"/>
        </w:rPr>
        <w:t>M</w:t>
      </w:r>
      <w:r w:rsidRPr="00BB7834">
        <w:rPr>
          <w:rFonts w:cs="Arial"/>
        </w:rPr>
        <w:t>ilitary hardware</w:t>
      </w:r>
      <w:r>
        <w:rPr>
          <w:rFonts w:cs="Arial"/>
        </w:rPr>
        <w:t xml:space="preserve"> </w:t>
      </w:r>
      <w:r w:rsidRPr="00326F29">
        <w:rPr>
          <w:rFonts w:cs="Arial"/>
          <w:i/>
        </w:rPr>
        <w:t>(purchase of)</w:t>
      </w:r>
    </w:p>
    <w:p w:rsidR="00326F29" w:rsidRDefault="00326F29" w:rsidP="001178AA">
      <w:pPr>
        <w:pStyle w:val="Bullet1"/>
        <w:spacing w:before="0"/>
      </w:pPr>
      <w:r>
        <w:t>Restoration of graves</w:t>
      </w:r>
    </w:p>
    <w:p w:rsidR="00EB3BAB" w:rsidRPr="00EB3BAB" w:rsidRDefault="00EB3BAB" w:rsidP="001178AA">
      <w:pPr>
        <w:pStyle w:val="Bullet1"/>
        <w:spacing w:before="0"/>
      </w:pPr>
      <w:r>
        <w:rPr>
          <w:rFonts w:cs="Arial"/>
        </w:rPr>
        <w:t>Scholarships</w:t>
      </w:r>
    </w:p>
    <w:p w:rsidR="00EB3BAB" w:rsidRPr="00E45FD0" w:rsidRDefault="00EB3BAB" w:rsidP="001178AA">
      <w:pPr>
        <w:pStyle w:val="Bullet1"/>
        <w:spacing w:before="0"/>
      </w:pPr>
      <w:r>
        <w:rPr>
          <w:rFonts w:cs="Arial"/>
        </w:rPr>
        <w:t>S</w:t>
      </w:r>
      <w:r w:rsidRPr="003528AF">
        <w:rPr>
          <w:rFonts w:cs="Arial"/>
        </w:rPr>
        <w:t>ubscriptions</w:t>
      </w:r>
      <w:r>
        <w:rPr>
          <w:rFonts w:cs="Arial"/>
        </w:rPr>
        <w:t xml:space="preserve"> (</w:t>
      </w:r>
      <w:r w:rsidRPr="00FB1E7D">
        <w:rPr>
          <w:rFonts w:cs="Arial"/>
          <w:i/>
        </w:rPr>
        <w:t>e.g. journals</w:t>
      </w:r>
      <w:r>
        <w:rPr>
          <w:rFonts w:cs="Arial"/>
        </w:rPr>
        <w:t>)</w:t>
      </w:r>
    </w:p>
    <w:p w:rsidR="00E45FD0" w:rsidRPr="00EB3BAB" w:rsidRDefault="00E45FD0" w:rsidP="001178AA">
      <w:pPr>
        <w:pStyle w:val="Bullet1"/>
        <w:spacing w:before="0"/>
      </w:pPr>
      <w:r>
        <w:t>Travel – international and domestic</w:t>
      </w:r>
      <w:r w:rsidR="00B737C5">
        <w:rPr>
          <w:b/>
        </w:rPr>
        <w:t xml:space="preserve">. </w:t>
      </w:r>
      <w:r w:rsidRPr="00EB3BAB">
        <w:rPr>
          <w:b/>
        </w:rPr>
        <w:t>Note:</w:t>
      </w:r>
      <w:r>
        <w:t xml:space="preserve"> includes hire of vehicles, fuel and accommodation</w:t>
      </w:r>
    </w:p>
    <w:p w:rsidR="00340616" w:rsidRPr="00D7105D" w:rsidRDefault="00EB3BAB" w:rsidP="001178AA">
      <w:pPr>
        <w:pStyle w:val="Bullet1"/>
        <w:spacing w:before="0"/>
        <w:rPr>
          <w:b/>
        </w:rPr>
      </w:pPr>
      <w:r w:rsidRPr="00D7105D">
        <w:rPr>
          <w:rFonts w:cs="Arial"/>
        </w:rPr>
        <w:lastRenderedPageBreak/>
        <w:t>Trophies, prizes, awards, gifts and medallions</w:t>
      </w:r>
    </w:p>
    <w:p w:rsidR="00340616" w:rsidRPr="00636C5F" w:rsidRDefault="00340616" w:rsidP="00A632E3">
      <w:pPr>
        <w:pStyle w:val="Heading1Numbered"/>
      </w:pPr>
      <w:bookmarkStart w:id="32" w:name="_Toc414983554"/>
      <w:bookmarkStart w:id="33" w:name="_Toc414983971"/>
      <w:bookmarkStart w:id="34" w:name="_Toc414984731"/>
      <w:bookmarkStart w:id="35" w:name="_Toc414984825"/>
      <w:bookmarkStart w:id="36" w:name="_Toc414984929"/>
      <w:bookmarkStart w:id="37" w:name="_Toc414985033"/>
      <w:bookmarkStart w:id="38" w:name="_Toc414985136"/>
      <w:bookmarkStart w:id="39" w:name="_Toc414985238"/>
      <w:bookmarkStart w:id="40" w:name="_Toc467773963"/>
      <w:bookmarkStart w:id="41" w:name="_Toc528913505"/>
      <w:bookmarkStart w:id="42" w:name="_Ref416444108"/>
      <w:bookmarkStart w:id="43" w:name="_Toc421777599"/>
      <w:bookmarkEnd w:id="32"/>
      <w:bookmarkEnd w:id="33"/>
      <w:bookmarkEnd w:id="34"/>
      <w:bookmarkEnd w:id="35"/>
      <w:bookmarkEnd w:id="36"/>
      <w:bookmarkEnd w:id="37"/>
      <w:bookmarkEnd w:id="38"/>
      <w:bookmarkEnd w:id="39"/>
      <w:r w:rsidRPr="00636C5F">
        <w:t>The grant selection process</w:t>
      </w:r>
      <w:bookmarkEnd w:id="40"/>
      <w:bookmarkEnd w:id="41"/>
    </w:p>
    <w:p w:rsidR="00340616" w:rsidRDefault="009D520A" w:rsidP="00857BB6">
      <w:pPr>
        <w:rPr>
          <w:rFonts w:cstheme="minorHAnsi"/>
        </w:rPr>
      </w:pPr>
      <w:r>
        <w:rPr>
          <w:rFonts w:cstheme="minorHAnsi"/>
        </w:rPr>
        <w:t>First</w:t>
      </w:r>
      <w:r w:rsidR="00BE6AB1">
        <w:rPr>
          <w:rFonts w:cstheme="minorHAnsi"/>
        </w:rPr>
        <w:t>,</w:t>
      </w:r>
      <w:r>
        <w:rPr>
          <w:rFonts w:cstheme="minorHAnsi"/>
        </w:rPr>
        <w:t xml:space="preserve"> we will</w:t>
      </w:r>
      <w:r w:rsidR="00340616" w:rsidRPr="00A632E3">
        <w:rPr>
          <w:rFonts w:cstheme="minorHAnsi"/>
        </w:rPr>
        <w:t xml:space="preserve"> assess your application against the eligibility criteria. Only eligible applications will move to the next stage. </w:t>
      </w:r>
      <w:r w:rsidR="001178AA">
        <w:rPr>
          <w:rFonts w:cstheme="minorHAnsi"/>
        </w:rPr>
        <w:t xml:space="preserve">Eligible applications will be considered through an open competitive grant process. </w:t>
      </w:r>
    </w:p>
    <w:p w:rsidR="003C2805" w:rsidRPr="00A632E3" w:rsidRDefault="003C2805" w:rsidP="003C2805">
      <w:pPr>
        <w:pStyle w:val="Bullet1"/>
        <w:numPr>
          <w:ilvl w:val="0"/>
          <w:numId w:val="0"/>
        </w:numPr>
      </w:pPr>
      <w:r w:rsidRPr="00A632E3">
        <w:rPr>
          <w:rFonts w:cstheme="minorHAnsi"/>
        </w:rPr>
        <w:t xml:space="preserve">We will then assess your application against the </w:t>
      </w:r>
      <w:r w:rsidR="00B51085">
        <w:rPr>
          <w:rFonts w:cstheme="minorHAnsi"/>
        </w:rPr>
        <w:t xml:space="preserve">assessment </w:t>
      </w:r>
      <w:r w:rsidRPr="00A632E3">
        <w:rPr>
          <w:rFonts w:cstheme="minorHAnsi"/>
        </w:rPr>
        <w:t>criteria set out below and against other applications. Your</w:t>
      </w:r>
      <w:r w:rsidR="00B04378">
        <w:rPr>
          <w:rFonts w:cstheme="minorHAnsi"/>
        </w:rPr>
        <w:t xml:space="preserve"> application will be considered</w:t>
      </w:r>
      <w:r w:rsidRPr="00A632E3">
        <w:rPr>
          <w:rFonts w:cstheme="minorHAnsi"/>
        </w:rPr>
        <w:t xml:space="preserve"> based </w:t>
      </w:r>
      <w:r w:rsidRPr="00A632E3">
        <w:t>on:</w:t>
      </w:r>
    </w:p>
    <w:p w:rsidR="003C2805" w:rsidRPr="00A632E3" w:rsidRDefault="003C2805" w:rsidP="003C2805">
      <w:pPr>
        <w:pStyle w:val="Bullet1"/>
      </w:pPr>
      <w:r w:rsidRPr="00A632E3">
        <w:t xml:space="preserve">how well it meets the criteria </w:t>
      </w:r>
    </w:p>
    <w:p w:rsidR="003C2805" w:rsidRPr="00A632E3" w:rsidRDefault="003C2805" w:rsidP="003C2805">
      <w:pPr>
        <w:pStyle w:val="Bullet1"/>
      </w:pPr>
      <w:r w:rsidRPr="00A632E3">
        <w:t xml:space="preserve">how it compares to other </w:t>
      </w:r>
      <w:r w:rsidR="00B04378">
        <w:t xml:space="preserve">eligible </w:t>
      </w:r>
      <w:r w:rsidRPr="00A632E3">
        <w:t xml:space="preserve">applications and </w:t>
      </w:r>
    </w:p>
    <w:p w:rsidR="003C2805" w:rsidRPr="00A632E3" w:rsidRDefault="003C2805" w:rsidP="003C2805">
      <w:pPr>
        <w:pStyle w:val="Bullet1"/>
      </w:pPr>
      <w:r w:rsidRPr="00A632E3">
        <w:t>whet</w:t>
      </w:r>
      <w:r w:rsidR="00574B5D">
        <w:t>her it provides value for money</w:t>
      </w:r>
    </w:p>
    <w:p w:rsidR="00CD4612" w:rsidRPr="00636C5F" w:rsidRDefault="00340616" w:rsidP="00340616">
      <w:pPr>
        <w:pStyle w:val="Heading1Numbered"/>
      </w:pPr>
      <w:bookmarkStart w:id="44" w:name="_Ref421697890"/>
      <w:bookmarkStart w:id="45" w:name="_Ref421697892"/>
      <w:bookmarkStart w:id="46" w:name="_Toc421777600"/>
      <w:bookmarkStart w:id="47" w:name="_Toc467773964"/>
      <w:bookmarkStart w:id="48" w:name="_Toc528913506"/>
      <w:bookmarkEnd w:id="42"/>
      <w:bookmarkEnd w:id="43"/>
      <w:r w:rsidRPr="00636C5F">
        <w:t>The assessment criteria</w:t>
      </w:r>
      <w:bookmarkEnd w:id="44"/>
      <w:bookmarkEnd w:id="45"/>
      <w:bookmarkEnd w:id="46"/>
      <w:bookmarkEnd w:id="47"/>
      <w:bookmarkEnd w:id="48"/>
    </w:p>
    <w:p w:rsidR="00440A2B" w:rsidRDefault="00440A2B" w:rsidP="00440A2B">
      <w:r w:rsidRPr="00E44E21">
        <w:t xml:space="preserve">You will need to </w:t>
      </w:r>
      <w:r w:rsidRPr="00440A2B">
        <w:t>address the</w:t>
      </w:r>
      <w:r w:rsidRPr="00E44E21">
        <w:t xml:space="preserve"> following assessment criteria in your application. We will judge your application based on </w:t>
      </w:r>
      <w:r w:rsidR="00A25AB1">
        <w:t>equal weighting</w:t>
      </w:r>
      <w:r w:rsidRPr="00E44E21">
        <w:t xml:space="preserve"> given to each criterion. The amount of detail and supporting evidence you provide in your application should be relative to the project size, complexity and grant amount requested. </w:t>
      </w:r>
    </w:p>
    <w:p w:rsidR="00A25AB1" w:rsidRDefault="00A25AB1" w:rsidP="00440A2B"/>
    <w:p w:rsidR="008A1FC9" w:rsidRPr="008A1FC9" w:rsidRDefault="008A1FC9" w:rsidP="008A1FC9">
      <w:pPr>
        <w:suppressAutoHyphens w:val="0"/>
        <w:spacing w:before="0" w:after="200" w:line="276" w:lineRule="auto"/>
        <w:rPr>
          <w:rFonts w:ascii="Arial" w:eastAsia="Calibri" w:hAnsi="Arial" w:cs="Times New Roman"/>
          <w:b/>
        </w:rPr>
      </w:pPr>
      <w:r w:rsidRPr="008A1FC9">
        <w:rPr>
          <w:rFonts w:ascii="Arial" w:eastAsia="Calibri" w:hAnsi="Arial" w:cs="Times New Roman"/>
          <w:b/>
        </w:rPr>
        <w:t xml:space="preserve">Criterion 1: Demonstrate the significance of the organisation’s project and outline how the project will contribute to Australia’s understanding of its wartime heritage and honour the service and sacrifice of its </w:t>
      </w:r>
      <w:r w:rsidR="00A25AB1">
        <w:rPr>
          <w:rFonts w:ascii="Arial" w:eastAsia="Calibri" w:hAnsi="Arial" w:cs="Times New Roman"/>
          <w:b/>
        </w:rPr>
        <w:t>service personnel</w:t>
      </w:r>
      <w:r w:rsidRPr="008A1FC9">
        <w:rPr>
          <w:rFonts w:ascii="Arial" w:eastAsia="Calibri" w:hAnsi="Arial" w:cs="Times New Roman"/>
          <w:b/>
        </w:rPr>
        <w:t>.</w:t>
      </w:r>
    </w:p>
    <w:p w:rsidR="008A1FC9" w:rsidRPr="008A1FC9" w:rsidRDefault="000A61F6" w:rsidP="00995116">
      <w:pPr>
        <w:suppressAutoHyphens w:val="0"/>
        <w:spacing w:before="0" w:after="120" w:line="276" w:lineRule="auto"/>
        <w:rPr>
          <w:rFonts w:ascii="Arial" w:eastAsia="Calibri" w:hAnsi="Arial" w:cs="Times New Roman"/>
        </w:rPr>
      </w:pPr>
      <w:r>
        <w:rPr>
          <w:rFonts w:ascii="Arial" w:eastAsia="Calibri" w:hAnsi="Arial" w:cs="Times New Roman"/>
        </w:rPr>
        <w:t xml:space="preserve">Applicants </w:t>
      </w:r>
      <w:r w:rsidRPr="009D00F0">
        <w:rPr>
          <w:rFonts w:ascii="Arial" w:eastAsia="Calibri" w:hAnsi="Arial" w:cs="Times New Roman"/>
        </w:rPr>
        <w:t>should:</w:t>
      </w:r>
    </w:p>
    <w:p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Outline the significance of the organisation’s project from a national,</w:t>
      </w:r>
      <w:r w:rsidR="00574B5D">
        <w:rPr>
          <w:rFonts w:ascii="Arial" w:eastAsia="Calibri" w:hAnsi="Arial" w:cs="Times New Roman"/>
        </w:rPr>
        <w:t xml:space="preserve"> state or territory perspective</w:t>
      </w:r>
    </w:p>
    <w:p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Explain how the organisation’s project will contribute to Australia’s understand</w:t>
      </w:r>
      <w:r w:rsidR="00574B5D">
        <w:rPr>
          <w:rFonts w:ascii="Arial" w:eastAsia="Calibri" w:hAnsi="Arial" w:cs="Times New Roman"/>
        </w:rPr>
        <w:t>ing of its wartime heritage</w:t>
      </w:r>
    </w:p>
    <w:p w:rsidR="008A1FC9" w:rsidRPr="008A1FC9" w:rsidRDefault="008A1FC9" w:rsidP="008A1FC9">
      <w:pPr>
        <w:numPr>
          <w:ilvl w:val="0"/>
          <w:numId w:val="33"/>
        </w:numPr>
        <w:suppressAutoHyphens w:val="0"/>
        <w:spacing w:before="0" w:after="200" w:line="276" w:lineRule="auto"/>
        <w:contextualSpacing/>
        <w:rPr>
          <w:rFonts w:ascii="Arial" w:eastAsia="Calibri" w:hAnsi="Arial" w:cs="Times New Roman"/>
        </w:rPr>
      </w:pPr>
      <w:r w:rsidRPr="008A1FC9">
        <w:rPr>
          <w:rFonts w:ascii="Arial" w:eastAsia="Calibri" w:hAnsi="Arial" w:cs="Times New Roman"/>
        </w:rPr>
        <w:t xml:space="preserve">Outline how the organisation’s project will honour the service and sacrifice of its </w:t>
      </w:r>
      <w:r w:rsidR="00A25AB1">
        <w:rPr>
          <w:rFonts w:ascii="Arial" w:eastAsia="Calibri" w:hAnsi="Arial" w:cs="Times New Roman"/>
        </w:rPr>
        <w:t>service personnel</w:t>
      </w:r>
    </w:p>
    <w:p w:rsidR="00636C5F" w:rsidRDefault="00636C5F" w:rsidP="00995116">
      <w:pPr>
        <w:suppressAutoHyphens w:val="0"/>
        <w:spacing w:before="0" w:after="0" w:line="276" w:lineRule="auto"/>
        <w:rPr>
          <w:rFonts w:ascii="Arial" w:eastAsia="Calibri" w:hAnsi="Arial" w:cs="Times New Roman"/>
          <w:b/>
        </w:rPr>
      </w:pPr>
    </w:p>
    <w:p w:rsidR="008A1FC9" w:rsidRPr="008A1FC9" w:rsidRDefault="008A1FC9" w:rsidP="008A1FC9">
      <w:pPr>
        <w:suppressAutoHyphens w:val="0"/>
        <w:spacing w:before="0" w:after="200" w:line="276" w:lineRule="auto"/>
        <w:rPr>
          <w:rFonts w:ascii="Arial" w:eastAsia="Calibri" w:hAnsi="Arial" w:cs="Times New Roman"/>
          <w:b/>
        </w:rPr>
      </w:pPr>
      <w:r w:rsidRPr="008A1FC9">
        <w:rPr>
          <w:rFonts w:ascii="Arial" w:eastAsia="Calibri" w:hAnsi="Arial" w:cs="Times New Roman"/>
          <w:b/>
        </w:rPr>
        <w:t xml:space="preserve">Criterion </w:t>
      </w:r>
      <w:r w:rsidR="00A25AB1">
        <w:rPr>
          <w:rFonts w:ascii="Arial" w:eastAsia="Calibri" w:hAnsi="Arial" w:cs="Times New Roman"/>
          <w:b/>
        </w:rPr>
        <w:t>2</w:t>
      </w:r>
      <w:r w:rsidRPr="008A1FC9">
        <w:rPr>
          <w:rFonts w:ascii="Arial" w:eastAsia="Calibri" w:hAnsi="Arial" w:cs="Times New Roman"/>
          <w:b/>
        </w:rPr>
        <w:t>: Demonstrate the organisation’s capability to successfully deliver the project on time and within budget.</w:t>
      </w:r>
    </w:p>
    <w:p w:rsidR="008A1FC9" w:rsidRPr="008A1FC9" w:rsidRDefault="006F7743" w:rsidP="00995116">
      <w:pPr>
        <w:suppressAutoHyphens w:val="0"/>
        <w:spacing w:before="0" w:after="120" w:line="276" w:lineRule="auto"/>
        <w:rPr>
          <w:rFonts w:ascii="Arial" w:eastAsia="Calibri" w:hAnsi="Arial" w:cs="Times New Roman"/>
        </w:rPr>
      </w:pPr>
      <w:r>
        <w:rPr>
          <w:rFonts w:ascii="Arial" w:eastAsia="Calibri" w:hAnsi="Arial" w:cs="Times New Roman"/>
        </w:rPr>
        <w:t xml:space="preserve">Applicants </w:t>
      </w:r>
      <w:r w:rsidR="000A61F6" w:rsidRPr="009D00F0">
        <w:rPr>
          <w:rFonts w:ascii="Arial" w:eastAsia="Calibri" w:hAnsi="Arial" w:cs="Times New Roman"/>
        </w:rPr>
        <w:t>should:</w:t>
      </w:r>
    </w:p>
    <w:p w:rsidR="00A25AB1" w:rsidRPr="00A25AB1" w:rsidRDefault="00A25AB1" w:rsidP="00A25AB1">
      <w:pPr>
        <w:numPr>
          <w:ilvl w:val="0"/>
          <w:numId w:val="33"/>
        </w:numPr>
        <w:suppressAutoHyphens w:val="0"/>
        <w:spacing w:before="0" w:after="200" w:line="276" w:lineRule="auto"/>
        <w:contextualSpacing/>
        <w:rPr>
          <w:rFonts w:ascii="Arial" w:eastAsia="Calibri" w:hAnsi="Arial" w:cs="Times New Roman"/>
          <w:szCs w:val="24"/>
          <w:lang w:eastAsia="en-AU"/>
        </w:rPr>
      </w:pPr>
      <w:r w:rsidRPr="00A25AB1">
        <w:rPr>
          <w:rFonts w:ascii="Arial" w:eastAsia="Calibri" w:hAnsi="Arial" w:cs="Times New Roman"/>
          <w:szCs w:val="24"/>
          <w:lang w:eastAsia="en-AU"/>
        </w:rPr>
        <w:t>Use examples to describe your organisation</w:t>
      </w:r>
      <w:r w:rsidR="00DE7FA9">
        <w:rPr>
          <w:rFonts w:ascii="Arial" w:eastAsia="Calibri" w:hAnsi="Arial" w:cs="Times New Roman"/>
          <w:szCs w:val="24"/>
          <w:lang w:eastAsia="en-AU"/>
        </w:rPr>
        <w:t>’</w:t>
      </w:r>
      <w:r w:rsidRPr="00A25AB1">
        <w:rPr>
          <w:rFonts w:ascii="Arial" w:eastAsia="Calibri" w:hAnsi="Arial" w:cs="Times New Roman"/>
          <w:szCs w:val="24"/>
          <w:lang w:eastAsia="en-AU"/>
        </w:rPr>
        <w:t>s experience with developing and implementing the</w:t>
      </w:r>
      <w:r w:rsidR="00574B5D">
        <w:rPr>
          <w:rFonts w:ascii="Arial" w:eastAsia="Calibri" w:hAnsi="Arial" w:cs="Times New Roman"/>
          <w:szCs w:val="24"/>
          <w:lang w:eastAsia="en-AU"/>
        </w:rPr>
        <w:t xml:space="preserve"> proposed (or similar) project</w:t>
      </w:r>
    </w:p>
    <w:p w:rsidR="00A25AB1" w:rsidRPr="00FB30E0" w:rsidRDefault="00A25AB1" w:rsidP="00FB30E0">
      <w:pPr>
        <w:numPr>
          <w:ilvl w:val="0"/>
          <w:numId w:val="33"/>
        </w:numPr>
        <w:suppressAutoHyphens w:val="0"/>
        <w:spacing w:before="0" w:after="200" w:line="276" w:lineRule="auto"/>
        <w:contextualSpacing/>
        <w:rPr>
          <w:rFonts w:ascii="Arial" w:eastAsia="Calibri" w:hAnsi="Arial" w:cs="Times New Roman"/>
          <w:szCs w:val="24"/>
          <w:lang w:eastAsia="en-AU"/>
        </w:rPr>
      </w:pPr>
      <w:r w:rsidRPr="00A25AB1">
        <w:rPr>
          <w:rFonts w:ascii="Arial" w:eastAsia="Calibri" w:hAnsi="Arial" w:cs="Times New Roman"/>
          <w:szCs w:val="24"/>
          <w:lang w:eastAsia="en-AU"/>
        </w:rPr>
        <w:t>Explain the relevant experience and qualifications held by key personnel and the</w:t>
      </w:r>
      <w:r w:rsidR="00574B5D">
        <w:rPr>
          <w:rFonts w:ascii="Arial" w:eastAsia="Calibri" w:hAnsi="Arial" w:cs="Times New Roman"/>
          <w:szCs w:val="24"/>
          <w:lang w:eastAsia="en-AU"/>
        </w:rPr>
        <w:t>ir role in managing the project</w:t>
      </w:r>
      <w:r w:rsidRPr="00A25AB1">
        <w:rPr>
          <w:rFonts w:ascii="Arial" w:eastAsia="Calibri" w:hAnsi="Arial" w:cs="Times New Roman"/>
          <w:szCs w:val="24"/>
          <w:lang w:eastAsia="en-AU"/>
        </w:rPr>
        <w:t xml:space="preserve"> </w:t>
      </w:r>
    </w:p>
    <w:p w:rsidR="005205EB" w:rsidRDefault="005205EB" w:rsidP="00A25AB1">
      <w:pPr>
        <w:spacing w:before="0" w:after="200" w:line="276" w:lineRule="auto"/>
        <w:rPr>
          <w:rFonts w:eastAsia="Calibri"/>
          <w:b/>
        </w:rPr>
      </w:pPr>
    </w:p>
    <w:p w:rsidR="00A25AB1" w:rsidRPr="008A1FC9" w:rsidRDefault="00A25AB1" w:rsidP="00A25AB1">
      <w:pPr>
        <w:spacing w:before="0" w:after="200" w:line="276" w:lineRule="auto"/>
        <w:rPr>
          <w:rFonts w:eastAsia="Calibri"/>
          <w:b/>
        </w:rPr>
      </w:pPr>
      <w:r>
        <w:rPr>
          <w:rFonts w:eastAsia="Calibri"/>
          <w:b/>
        </w:rPr>
        <w:lastRenderedPageBreak/>
        <w:t>Criterion 3</w:t>
      </w:r>
      <w:r w:rsidRPr="008A1FC9">
        <w:rPr>
          <w:rFonts w:eastAsia="Calibri"/>
          <w:b/>
        </w:rPr>
        <w:t xml:space="preserve">: </w:t>
      </w:r>
      <w:r>
        <w:rPr>
          <w:rFonts w:eastAsia="Calibri"/>
          <w:b/>
        </w:rPr>
        <w:t xml:space="preserve">Demonstrate Stakeholder </w:t>
      </w:r>
      <w:r w:rsidR="00F47DEE">
        <w:rPr>
          <w:rFonts w:eastAsia="Calibri"/>
          <w:b/>
        </w:rPr>
        <w:t>Engagement</w:t>
      </w:r>
    </w:p>
    <w:p w:rsidR="00A25AB1" w:rsidRPr="008A1FC9" w:rsidRDefault="006F7743" w:rsidP="008C7F98">
      <w:pPr>
        <w:spacing w:before="0" w:after="120" w:line="240" w:lineRule="auto"/>
        <w:rPr>
          <w:rFonts w:eastAsia="Calibri"/>
        </w:rPr>
      </w:pPr>
      <w:r>
        <w:rPr>
          <w:rFonts w:eastAsia="Calibri"/>
        </w:rPr>
        <w:t xml:space="preserve">Applicants </w:t>
      </w:r>
      <w:r w:rsidR="000A61F6" w:rsidRPr="009D00F0">
        <w:rPr>
          <w:rFonts w:eastAsia="Calibri"/>
        </w:rPr>
        <w:t>should:</w:t>
      </w:r>
      <w:r w:rsidR="00A25AB1">
        <w:rPr>
          <w:rFonts w:eastAsia="Calibri"/>
        </w:rPr>
        <w:t xml:space="preserve"> </w:t>
      </w:r>
    </w:p>
    <w:p w:rsidR="00A25AB1" w:rsidRDefault="00A25AB1" w:rsidP="00A25AB1">
      <w:pPr>
        <w:numPr>
          <w:ilvl w:val="0"/>
          <w:numId w:val="33"/>
        </w:numPr>
        <w:suppressAutoHyphens w:val="0"/>
        <w:spacing w:before="0" w:after="200" w:line="276" w:lineRule="auto"/>
        <w:contextualSpacing/>
        <w:rPr>
          <w:rFonts w:eastAsia="Calibri"/>
        </w:rPr>
      </w:pPr>
      <w:r w:rsidRPr="0083217E">
        <w:rPr>
          <w:rFonts w:eastAsia="Calibri"/>
        </w:rPr>
        <w:t>Identify and describe the involvement of key stake</w:t>
      </w:r>
      <w:r>
        <w:rPr>
          <w:rFonts w:eastAsia="Calibri"/>
        </w:rPr>
        <w:t>holders in the proposed project</w:t>
      </w:r>
    </w:p>
    <w:p w:rsidR="00A25AB1" w:rsidRDefault="00DE7FA9" w:rsidP="00A25AB1">
      <w:pPr>
        <w:numPr>
          <w:ilvl w:val="0"/>
          <w:numId w:val="33"/>
        </w:numPr>
        <w:suppressAutoHyphens w:val="0"/>
        <w:spacing w:before="0" w:after="200" w:line="276" w:lineRule="auto"/>
        <w:contextualSpacing/>
        <w:rPr>
          <w:rFonts w:eastAsia="Calibri"/>
        </w:rPr>
      </w:pPr>
      <w:r>
        <w:rPr>
          <w:rFonts w:eastAsia="Calibri"/>
        </w:rPr>
        <w:t>Demonstrate</w:t>
      </w:r>
      <w:r w:rsidR="00A25AB1">
        <w:rPr>
          <w:rFonts w:eastAsia="Calibri"/>
        </w:rPr>
        <w:t xml:space="preserve"> community and/or stake</w:t>
      </w:r>
      <w:r w:rsidR="00574B5D">
        <w:rPr>
          <w:rFonts w:eastAsia="Calibri"/>
        </w:rPr>
        <w:t>holder support for your project</w:t>
      </w:r>
    </w:p>
    <w:p w:rsidR="005205EB" w:rsidRDefault="00A25AB1" w:rsidP="005205EB">
      <w:pPr>
        <w:numPr>
          <w:ilvl w:val="0"/>
          <w:numId w:val="33"/>
        </w:numPr>
        <w:suppressAutoHyphens w:val="0"/>
        <w:spacing w:before="0" w:after="200" w:line="276" w:lineRule="auto"/>
        <w:contextualSpacing/>
      </w:pPr>
      <w:r w:rsidRPr="003B583C">
        <w:rPr>
          <w:rFonts w:eastAsia="Calibri"/>
        </w:rPr>
        <w:t>Demonstrate the organisation’s working relationships with local community organisations and resources, and explain how these working relationships will improve your organisation’s delivery of the project</w:t>
      </w:r>
    </w:p>
    <w:p w:rsidR="005205EB" w:rsidRPr="005205EB" w:rsidRDefault="005205EB" w:rsidP="005205EB">
      <w:pPr>
        <w:numPr>
          <w:ilvl w:val="0"/>
          <w:numId w:val="33"/>
        </w:numPr>
        <w:suppressAutoHyphens w:val="0"/>
        <w:spacing w:before="0" w:after="200" w:line="276" w:lineRule="auto"/>
        <w:contextualSpacing/>
      </w:pPr>
      <w:r w:rsidRPr="005205EB">
        <w:t>Demonstrate any financial or in kind contributions which are also indicative that</w:t>
      </w:r>
      <w:r w:rsidR="00574B5D">
        <w:t xml:space="preserve"> support for the project exists</w:t>
      </w:r>
    </w:p>
    <w:p w:rsidR="00615F53" w:rsidRDefault="005205EB" w:rsidP="005205EB">
      <w:pPr>
        <w:suppressAutoHyphens w:val="0"/>
        <w:spacing w:before="0" w:after="200" w:line="276" w:lineRule="auto"/>
        <w:ind w:left="1080"/>
        <w:contextualSpacing/>
      </w:pPr>
      <w:r>
        <w:t xml:space="preserve"> </w:t>
      </w:r>
    </w:p>
    <w:p w:rsidR="00615F53" w:rsidRPr="00E44E21" w:rsidRDefault="00615F53" w:rsidP="00615F53">
      <w:pPr>
        <w:suppressAutoHyphens w:val="0"/>
        <w:spacing w:before="0" w:after="200" w:line="276" w:lineRule="auto"/>
        <w:contextualSpacing/>
      </w:pPr>
      <w:r>
        <w:t xml:space="preserve">The application form includes word limits. </w:t>
      </w:r>
    </w:p>
    <w:p w:rsidR="00340616" w:rsidRPr="00B72EE8" w:rsidRDefault="00340616" w:rsidP="00A632E3">
      <w:pPr>
        <w:pStyle w:val="Heading1Numbered"/>
      </w:pPr>
      <w:bookmarkStart w:id="49" w:name="_Toc421777611"/>
      <w:bookmarkStart w:id="50" w:name="_Toc467773965"/>
      <w:bookmarkStart w:id="51" w:name="_Toc528913507"/>
      <w:bookmarkStart w:id="52" w:name="_Toc421777601"/>
      <w:r>
        <w:t>The grant application p</w:t>
      </w:r>
      <w:r w:rsidRPr="00B72EE8">
        <w:t>rocess</w:t>
      </w:r>
      <w:bookmarkEnd w:id="49"/>
      <w:bookmarkEnd w:id="50"/>
      <w:bookmarkEnd w:id="51"/>
    </w:p>
    <w:p w:rsidR="00340616" w:rsidRPr="009D325B" w:rsidRDefault="00340616" w:rsidP="003717CD">
      <w:pPr>
        <w:pStyle w:val="Heading2Numbered"/>
      </w:pPr>
      <w:bookmarkStart w:id="53" w:name="_Toc421777612"/>
      <w:bookmarkStart w:id="54" w:name="_Toc467773966"/>
      <w:bookmarkStart w:id="55" w:name="_Toc528913508"/>
      <w:r w:rsidRPr="009D325B">
        <w:t>Overview of application process</w:t>
      </w:r>
      <w:bookmarkEnd w:id="53"/>
      <w:bookmarkEnd w:id="54"/>
      <w:bookmarkEnd w:id="55"/>
    </w:p>
    <w:p w:rsidR="00340616" w:rsidRPr="00B72EE8" w:rsidRDefault="00340616" w:rsidP="00340616">
      <w:r>
        <w:t>You</w:t>
      </w:r>
      <w:r w:rsidRPr="00B72EE8">
        <w:t xml:space="preserve"> </w:t>
      </w:r>
      <w:r>
        <w:t>must</w:t>
      </w:r>
      <w:r w:rsidRPr="00B72EE8">
        <w:t xml:space="preserve"> read these grant guidelines, </w:t>
      </w:r>
      <w:r w:rsidRPr="0028767B">
        <w:t>the application form</w:t>
      </w:r>
      <w:r w:rsidR="002C2BC3">
        <w:t xml:space="preserve">, the </w:t>
      </w:r>
      <w:r w:rsidR="00F16A18">
        <w:t xml:space="preserve">Questions and Answers </w:t>
      </w:r>
      <w:r w:rsidRPr="00B72EE8">
        <w:t xml:space="preserve">and the </w:t>
      </w:r>
      <w:r w:rsidR="00995116">
        <w:t xml:space="preserve">grant agreement </w:t>
      </w:r>
      <w:r w:rsidR="00F16A18">
        <w:t>terms and conditions</w:t>
      </w:r>
      <w:r w:rsidRPr="0028767B">
        <w:t xml:space="preserve"> </w:t>
      </w:r>
      <w:r>
        <w:t>before you</w:t>
      </w:r>
      <w:r w:rsidRPr="00B72EE8">
        <w:t xml:space="preserve"> submit an application.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340616" w:rsidRDefault="00340616" w:rsidP="00340616">
      <w:r>
        <w:t>You</w:t>
      </w:r>
      <w:r w:rsidRPr="00B72EE8">
        <w:t xml:space="preserve"> </w:t>
      </w:r>
      <w:r>
        <w:t>must</w:t>
      </w:r>
      <w:r w:rsidRPr="00B72EE8">
        <w:t xml:space="preserve"> address all of the </w:t>
      </w:r>
      <w:r w:rsidR="008A1FC9">
        <w:t xml:space="preserve">eligibility and </w:t>
      </w:r>
      <w:r w:rsidRPr="00B72EE8">
        <w:t xml:space="preserve">assessment criteria to be considered for </w:t>
      </w:r>
      <w:r>
        <w:t>a grant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rsidR="00340616" w:rsidRDefault="00340616" w:rsidP="00340616">
      <w:r>
        <w:t>Please</w:t>
      </w:r>
      <w:r w:rsidRPr="00B72EE8">
        <w:t xml:space="preserve"> keep a copy of your applica</w:t>
      </w:r>
      <w:r>
        <w:t>tion and any supporting papers</w:t>
      </w:r>
      <w:r w:rsidRPr="00B72EE8">
        <w:t xml:space="preserve">. </w:t>
      </w:r>
    </w:p>
    <w:p w:rsidR="00340616" w:rsidRPr="00636C5F" w:rsidRDefault="00340616" w:rsidP="003717CD">
      <w:pPr>
        <w:pStyle w:val="Heading2Numbered"/>
      </w:pPr>
      <w:bookmarkStart w:id="56" w:name="_Toc467773967"/>
      <w:bookmarkStart w:id="57" w:name="_Toc528913509"/>
      <w:bookmarkStart w:id="58" w:name="_Toc421777613"/>
      <w:bookmarkStart w:id="59" w:name="_Ref421787098"/>
      <w:bookmarkStart w:id="60" w:name="_Ref422127559"/>
      <w:bookmarkStart w:id="61" w:name="_Ref422128505"/>
      <w:r w:rsidRPr="00636C5F">
        <w:t>Application process timing</w:t>
      </w:r>
      <w:bookmarkEnd w:id="56"/>
      <w:bookmarkEnd w:id="57"/>
      <w:r w:rsidRPr="00636C5F">
        <w:t xml:space="preserve"> </w:t>
      </w:r>
      <w:bookmarkEnd w:id="58"/>
      <w:bookmarkEnd w:id="59"/>
      <w:bookmarkEnd w:id="60"/>
      <w:bookmarkEnd w:id="61"/>
    </w:p>
    <w:p w:rsidR="004E5301" w:rsidRDefault="004E5301" w:rsidP="006338CC">
      <w:r>
        <w:t xml:space="preserve">The application period for this grant opportunity will open on </w:t>
      </w:r>
      <w:r w:rsidR="00E739AB">
        <w:t>6 November 2018</w:t>
      </w:r>
      <w:r>
        <w:t xml:space="preserve"> and close on </w:t>
      </w:r>
      <w:r w:rsidR="00E739AB">
        <w:t>1</w:t>
      </w:r>
      <w:r w:rsidR="0004306B">
        <w:t>0</w:t>
      </w:r>
      <w:r w:rsidR="00E739AB">
        <w:t xml:space="preserve"> January 2019</w:t>
      </w:r>
      <w:r>
        <w:t xml:space="preserve">. Applicants must submit their application </w:t>
      </w:r>
      <w:r w:rsidR="00FD2828">
        <w:t>between the published opening and closing dates and times</w:t>
      </w:r>
      <w:r>
        <w:t xml:space="preserve">. </w:t>
      </w:r>
    </w:p>
    <w:p w:rsidR="0054078D" w:rsidRDefault="0054078D" w:rsidP="0054078D">
      <w:pPr>
        <w:pStyle w:val="Caption"/>
        <w:keepNext/>
      </w:pPr>
      <w:bookmarkStart w:id="62" w:name="_Toc467773968"/>
      <w:r w:rsidRPr="0054078D">
        <w:rPr>
          <w:bCs/>
          <w:iCs w:val="0"/>
        </w:rPr>
        <w:t>Table 1: Expected timing for this grant opportunity</w:t>
      </w:r>
      <w:bookmarkEnd w:id="62"/>
      <w:r w:rsidRPr="0054078D">
        <w:t xml:space="preserve"> </w:t>
      </w:r>
    </w:p>
    <w:tbl>
      <w:tblPr>
        <w:tblStyle w:val="Finance1"/>
        <w:tblW w:w="8789" w:type="dxa"/>
        <w:tblLook w:val="0660"/>
      </w:tblPr>
      <w:tblGrid>
        <w:gridCol w:w="5387"/>
        <w:gridCol w:w="3402"/>
      </w:tblGrid>
      <w:tr w:rsidR="0054078D" w:rsidTr="003E60A5">
        <w:trPr>
          <w:cnfStyle w:val="100000000000"/>
        </w:trPr>
        <w:tc>
          <w:tcPr>
            <w:tcW w:w="5387" w:type="dxa"/>
          </w:tcPr>
          <w:p w:rsidR="0054078D" w:rsidRDefault="0054078D" w:rsidP="00E44E21">
            <w:pPr>
              <w:pStyle w:val="TableText"/>
            </w:pPr>
            <w:r>
              <w:t>Activity</w:t>
            </w:r>
          </w:p>
        </w:tc>
        <w:tc>
          <w:tcPr>
            <w:tcW w:w="3402" w:type="dxa"/>
          </w:tcPr>
          <w:p w:rsidR="0054078D" w:rsidRDefault="0054078D" w:rsidP="0054078D">
            <w:pPr>
              <w:pStyle w:val="TableText"/>
              <w:jc w:val="center"/>
            </w:pPr>
            <w:r>
              <w:t>Timeframe</w:t>
            </w:r>
          </w:p>
        </w:tc>
      </w:tr>
      <w:tr w:rsidR="0054078D" w:rsidTr="0054078D">
        <w:tc>
          <w:tcPr>
            <w:tcW w:w="5387" w:type="dxa"/>
          </w:tcPr>
          <w:p w:rsidR="0054078D" w:rsidRPr="000D60B1" w:rsidRDefault="0054078D" w:rsidP="0054078D">
            <w:pPr>
              <w:pStyle w:val="TableText"/>
            </w:pPr>
            <w:r>
              <w:t>Application period</w:t>
            </w:r>
            <w:r w:rsidRPr="000D60B1">
              <w:t xml:space="preserve"> </w:t>
            </w:r>
          </w:p>
        </w:tc>
        <w:tc>
          <w:tcPr>
            <w:tcW w:w="3402" w:type="dxa"/>
          </w:tcPr>
          <w:p w:rsidR="0054078D" w:rsidRPr="00F11B6E" w:rsidRDefault="0054078D" w:rsidP="00944960">
            <w:pPr>
              <w:pStyle w:val="TableText"/>
            </w:pPr>
            <w:r w:rsidRPr="00F11B6E">
              <w:t xml:space="preserve">Open: </w:t>
            </w:r>
            <w:r w:rsidR="00E739AB">
              <w:t>6</w:t>
            </w:r>
            <w:r w:rsidR="00944960">
              <w:t xml:space="preserve"> </w:t>
            </w:r>
            <w:r w:rsidR="00E739AB">
              <w:t>November</w:t>
            </w:r>
            <w:r w:rsidR="00944960">
              <w:t xml:space="preserve"> </w:t>
            </w:r>
            <w:r w:rsidR="00024E94" w:rsidRPr="00F11B6E">
              <w:t>2018</w:t>
            </w:r>
            <w:r w:rsidRPr="00F11B6E">
              <w:t xml:space="preserve"> </w:t>
            </w:r>
            <w:r w:rsidRPr="00F11B6E">
              <w:br/>
              <w:t xml:space="preserve">Close: </w:t>
            </w:r>
            <w:r w:rsidR="00024E94" w:rsidRPr="00F11B6E">
              <w:t>2.00pm AE</w:t>
            </w:r>
            <w:r w:rsidR="00F62F45">
              <w:t>D</w:t>
            </w:r>
            <w:r w:rsidR="00024E94" w:rsidRPr="00F11B6E">
              <w:t xml:space="preserve">T </w:t>
            </w:r>
            <w:r w:rsidR="0004306B">
              <w:t>10</w:t>
            </w:r>
            <w:r w:rsidR="00E739AB">
              <w:t xml:space="preserve"> January 2019</w:t>
            </w:r>
            <w:r w:rsidRPr="00F11B6E">
              <w:t xml:space="preserve"> </w:t>
            </w:r>
          </w:p>
        </w:tc>
      </w:tr>
      <w:tr w:rsidR="0054078D" w:rsidTr="0054078D">
        <w:tc>
          <w:tcPr>
            <w:tcW w:w="5387" w:type="dxa"/>
          </w:tcPr>
          <w:p w:rsidR="0054078D" w:rsidRPr="00B72EE8" w:rsidRDefault="0054078D" w:rsidP="0054078D">
            <w:pPr>
              <w:pStyle w:val="TableText"/>
            </w:pPr>
            <w:r w:rsidRPr="00B72EE8">
              <w:t>Assessment of applications</w:t>
            </w:r>
          </w:p>
        </w:tc>
        <w:tc>
          <w:tcPr>
            <w:tcW w:w="3402" w:type="dxa"/>
          </w:tcPr>
          <w:p w:rsidR="0054078D" w:rsidRPr="00F11B6E" w:rsidRDefault="0065442E" w:rsidP="00995116">
            <w:pPr>
              <w:pStyle w:val="TableText"/>
            </w:pPr>
            <w:r>
              <w:t>6-8</w:t>
            </w:r>
            <w:r w:rsidR="0054078D" w:rsidRPr="00F11B6E">
              <w:t xml:space="preserve"> weeks </w:t>
            </w:r>
          </w:p>
        </w:tc>
      </w:tr>
      <w:tr w:rsidR="0054078D" w:rsidTr="0054078D">
        <w:tc>
          <w:tcPr>
            <w:tcW w:w="5387" w:type="dxa"/>
          </w:tcPr>
          <w:p w:rsidR="0054078D" w:rsidRPr="00B72EE8" w:rsidRDefault="0054078D" w:rsidP="0054078D">
            <w:pPr>
              <w:pStyle w:val="TableText"/>
            </w:pPr>
            <w:r w:rsidRPr="00B72EE8">
              <w:t>Approval of outcomes of selection process</w:t>
            </w:r>
          </w:p>
        </w:tc>
        <w:tc>
          <w:tcPr>
            <w:tcW w:w="3402" w:type="dxa"/>
          </w:tcPr>
          <w:p w:rsidR="0054078D" w:rsidRPr="00F11B6E" w:rsidRDefault="0065442E" w:rsidP="00995116">
            <w:pPr>
              <w:pStyle w:val="TableText"/>
            </w:pPr>
            <w:r>
              <w:t>5-7</w:t>
            </w:r>
            <w:r w:rsidR="0054078D" w:rsidRPr="00F11B6E">
              <w:t xml:space="preserve"> weeks </w:t>
            </w:r>
          </w:p>
        </w:tc>
      </w:tr>
      <w:tr w:rsidR="0054078D" w:rsidRPr="00AB6036" w:rsidTr="0054078D">
        <w:tc>
          <w:tcPr>
            <w:tcW w:w="5387" w:type="dxa"/>
          </w:tcPr>
          <w:p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54078D" w:rsidRPr="00F11B6E" w:rsidRDefault="0065442E" w:rsidP="00995116">
            <w:pPr>
              <w:pStyle w:val="TableText"/>
            </w:pPr>
            <w:r>
              <w:t>6-8</w:t>
            </w:r>
            <w:r w:rsidR="0054078D" w:rsidRPr="00F11B6E">
              <w:t xml:space="preserve"> weeks </w:t>
            </w:r>
          </w:p>
        </w:tc>
      </w:tr>
      <w:tr w:rsidR="0054078D" w:rsidTr="0054078D">
        <w:tc>
          <w:tcPr>
            <w:tcW w:w="5387" w:type="dxa"/>
          </w:tcPr>
          <w:p w:rsidR="0054078D" w:rsidRPr="00B72EE8" w:rsidRDefault="0054078D" w:rsidP="0054078D">
            <w:pPr>
              <w:pStyle w:val="TableText"/>
            </w:pPr>
            <w:r w:rsidRPr="00B72EE8">
              <w:lastRenderedPageBreak/>
              <w:t>Notification to unsuccessful applicants</w:t>
            </w:r>
          </w:p>
        </w:tc>
        <w:tc>
          <w:tcPr>
            <w:tcW w:w="3402" w:type="dxa"/>
          </w:tcPr>
          <w:p w:rsidR="0054078D" w:rsidRPr="00F11B6E" w:rsidRDefault="0054078D" w:rsidP="00995116">
            <w:pPr>
              <w:pStyle w:val="TableText"/>
            </w:pPr>
            <w:r w:rsidRPr="00F11B6E">
              <w:t>2 weeks</w:t>
            </w:r>
          </w:p>
        </w:tc>
      </w:tr>
      <w:tr w:rsidR="0054078D" w:rsidTr="0054078D">
        <w:tc>
          <w:tcPr>
            <w:tcW w:w="5387" w:type="dxa"/>
          </w:tcPr>
          <w:p w:rsidR="0054078D" w:rsidRDefault="0054078D" w:rsidP="0054078D">
            <w:pPr>
              <w:pStyle w:val="TableText"/>
            </w:pPr>
            <w:r>
              <w:t>Activity commences</w:t>
            </w:r>
          </w:p>
        </w:tc>
        <w:tc>
          <w:tcPr>
            <w:tcW w:w="3402" w:type="dxa"/>
          </w:tcPr>
          <w:p w:rsidR="0054078D" w:rsidRPr="00F11B6E" w:rsidRDefault="00483145" w:rsidP="00E739AB">
            <w:pPr>
              <w:pStyle w:val="TableText"/>
            </w:pPr>
            <w:r>
              <w:t>June</w:t>
            </w:r>
            <w:r w:rsidR="00E739AB">
              <w:t xml:space="preserve"> 2019</w:t>
            </w:r>
          </w:p>
        </w:tc>
      </w:tr>
      <w:tr w:rsidR="00BE5756" w:rsidTr="0054078D">
        <w:trPr>
          <w:cnfStyle w:val="010000000000"/>
        </w:trPr>
        <w:tc>
          <w:tcPr>
            <w:tcW w:w="5387" w:type="dxa"/>
          </w:tcPr>
          <w:p w:rsidR="00BE5756" w:rsidRDefault="00BE5756" w:rsidP="0054078D">
            <w:pPr>
              <w:pStyle w:val="TableText"/>
            </w:pPr>
            <w:r>
              <w:t xml:space="preserve">End date </w:t>
            </w:r>
          </w:p>
        </w:tc>
        <w:tc>
          <w:tcPr>
            <w:tcW w:w="3402" w:type="dxa"/>
          </w:tcPr>
          <w:p w:rsidR="00BE5756" w:rsidRPr="00F11B6E" w:rsidRDefault="00BE5756" w:rsidP="0054078D">
            <w:pPr>
              <w:pStyle w:val="TableText"/>
            </w:pPr>
            <w:r>
              <w:t>As stated in your grant agreement, if successful.</w:t>
            </w:r>
          </w:p>
        </w:tc>
      </w:tr>
    </w:tbl>
    <w:p w:rsidR="00FD2828" w:rsidRDefault="00FD2828" w:rsidP="00FD2828">
      <w:bookmarkStart w:id="63" w:name="_Toc421777614"/>
      <w:bookmarkStart w:id="64" w:name="_Toc433641169"/>
      <w:bookmarkStart w:id="65" w:name="_Toc467773969"/>
      <w:r>
        <w:t>The Community Grants Hub will not accept late applications unless an applicant has experienced exceptional circumstances that prevent the submission of the application. Broadly, exceptional circumstances are events characterised by one or more of the following:</w:t>
      </w:r>
    </w:p>
    <w:p w:rsidR="00FD2828" w:rsidRDefault="00FD2828" w:rsidP="00FD2828">
      <w:pPr>
        <w:numPr>
          <w:ilvl w:val="0"/>
          <w:numId w:val="48"/>
        </w:numPr>
        <w:suppressAutoHyphens w:val="0"/>
        <w:spacing w:before="40" w:after="120"/>
        <w:contextualSpacing/>
        <w:rPr>
          <w:rFonts w:eastAsia="Times New Roman"/>
        </w:rPr>
      </w:pPr>
      <w:r>
        <w:rPr>
          <w:rFonts w:eastAsia="Times New Roman"/>
        </w:rPr>
        <w:t>reasonably unforeseeable,</w:t>
      </w:r>
    </w:p>
    <w:p w:rsidR="00FD2828" w:rsidRDefault="00FD2828" w:rsidP="00FD2828">
      <w:pPr>
        <w:numPr>
          <w:ilvl w:val="0"/>
          <w:numId w:val="48"/>
        </w:numPr>
        <w:suppressAutoHyphens w:val="0"/>
        <w:spacing w:before="40" w:after="120"/>
        <w:contextualSpacing/>
        <w:rPr>
          <w:rFonts w:eastAsia="Times New Roman"/>
        </w:rPr>
      </w:pPr>
      <w:r>
        <w:rPr>
          <w:rFonts w:eastAsia="Times New Roman"/>
        </w:rPr>
        <w:t>beyond the applicant’s control,</w:t>
      </w:r>
    </w:p>
    <w:p w:rsidR="00FD2828" w:rsidRDefault="00FD2828" w:rsidP="00FD2828">
      <w:pPr>
        <w:numPr>
          <w:ilvl w:val="0"/>
          <w:numId w:val="48"/>
        </w:numPr>
        <w:suppressAutoHyphens w:val="0"/>
        <w:spacing w:before="40" w:after="120"/>
        <w:contextualSpacing/>
        <w:rPr>
          <w:rFonts w:eastAsia="Times New Roman"/>
        </w:rPr>
      </w:pPr>
      <w:proofErr w:type="gramStart"/>
      <w:r>
        <w:rPr>
          <w:rFonts w:eastAsia="Times New Roman"/>
        </w:rPr>
        <w:t>unable</w:t>
      </w:r>
      <w:proofErr w:type="gramEnd"/>
      <w:r>
        <w:rPr>
          <w:rFonts w:eastAsia="Times New Roman"/>
        </w:rPr>
        <w:t xml:space="preserve"> to be managed or resolved within the application period. </w:t>
      </w:r>
    </w:p>
    <w:p w:rsidR="00FD2828" w:rsidRDefault="00FD2828" w:rsidP="00FD2828">
      <w:r>
        <w:t>Exceptional circumstances will be considered on their merits and in accordance with probity principles.</w:t>
      </w:r>
    </w:p>
    <w:p w:rsidR="00FD2828" w:rsidRDefault="00FD2828" w:rsidP="00FD2828">
      <w:pPr>
        <w:rPr>
          <w:b/>
          <w:bCs/>
        </w:rPr>
      </w:pPr>
      <w:r>
        <w:rPr>
          <w:b/>
          <w:bCs/>
        </w:rPr>
        <w:t>How to lodge a late application</w:t>
      </w:r>
    </w:p>
    <w:p w:rsidR="00FD2828" w:rsidRDefault="00FD2828" w:rsidP="00FD2828">
      <w:r>
        <w:t xml:space="preserve">Applicants seeking to submit a late application will be required to submit a late application request to the Community Grants Hub Hotline via </w:t>
      </w:r>
      <w:hyperlink r:id="rId19" w:history="1">
        <w:r>
          <w:rPr>
            <w:rStyle w:val="Hyperlink"/>
          </w:rPr>
          <w:t>support@communitygrants.gov.au</w:t>
        </w:r>
      </w:hyperlink>
      <w:r>
        <w:t xml:space="preserve">. </w:t>
      </w:r>
    </w:p>
    <w:p w:rsidR="00FD2828" w:rsidRDefault="00FD2828" w:rsidP="00FD2828">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FD2828" w:rsidRDefault="00FD2828" w:rsidP="00FD2828">
      <w:r>
        <w:t xml:space="preserve">Written requests to lodge a late application will only be accepted within three days after the grant opportunity has closed. </w:t>
      </w:r>
    </w:p>
    <w:p w:rsidR="00FD2828" w:rsidRDefault="00FD2828" w:rsidP="00FD2828">
      <w:pPr>
        <w:rPr>
          <w:rFonts w:ascii="Times New Roman" w:hAnsi="Times New Roman" w:cs="Times New Roman"/>
          <w:sz w:val="24"/>
          <w:szCs w:val="24"/>
          <w:lang w:eastAsia="en-AU"/>
        </w:rPr>
      </w:pPr>
      <w:r w:rsidRPr="00FD2828">
        <w:t>The Delegate or their appointed representative</w:t>
      </w:r>
      <w:r>
        <w:rPr>
          <w:rStyle w:val="FootnoteReference"/>
          <w:rFonts w:ascii="Arial" w:hAnsi="Arial" w:cs="Arial"/>
        </w:rPr>
        <w:footnoteReference w:id="4"/>
      </w:r>
      <w:r w:rsidRPr="00FD2828">
        <w:t xml:space="preserve"> will</w:t>
      </w:r>
      <w:r>
        <w:t xml:space="preserve"> determine whether a late application will be accepted. The decision of the delegate will be final and not be subject to a review or appeals process.</w:t>
      </w:r>
    </w:p>
    <w:p w:rsidR="00FD2828" w:rsidRDefault="00FD2828" w:rsidP="00FD2828">
      <w:r>
        <w:t>Once the outcome is determined, the Community Grants Hub will advise the applicant if their request is accepted or declined.</w:t>
      </w:r>
    </w:p>
    <w:p w:rsidR="00340616" w:rsidRPr="009F1205" w:rsidRDefault="00340616" w:rsidP="009F1205">
      <w:pPr>
        <w:pStyle w:val="Heading2Numbered"/>
      </w:pPr>
      <w:bookmarkStart w:id="66" w:name="_Toc528913510"/>
      <w:r w:rsidRPr="009F1205">
        <w:t>Completing the grant application</w:t>
      </w:r>
      <w:bookmarkEnd w:id="63"/>
      <w:bookmarkEnd w:id="64"/>
      <w:bookmarkEnd w:id="65"/>
      <w:bookmarkEnd w:id="66"/>
    </w:p>
    <w:p w:rsidR="00340616" w:rsidRDefault="00340616" w:rsidP="00340616">
      <w:r>
        <w:t>You must submit your</w:t>
      </w:r>
      <w:r w:rsidR="009C4265">
        <w:t xml:space="preserve"> </w:t>
      </w:r>
      <w:r>
        <w:t>grant a</w:t>
      </w:r>
      <w:r w:rsidRPr="00B72EE8">
        <w:t xml:space="preserve">pplication </w:t>
      </w:r>
      <w:r w:rsidR="00CC5F4A">
        <w:t xml:space="preserve">using the </w:t>
      </w:r>
      <w:r w:rsidRPr="00B72EE8">
        <w:t>application form, w</w:t>
      </w:r>
      <w:r>
        <w:t xml:space="preserve">hich </w:t>
      </w:r>
      <w:r w:rsidR="00EF6C6F">
        <w:t xml:space="preserve">is available on </w:t>
      </w:r>
      <w:r w:rsidR="00F11B6E">
        <w:t xml:space="preserve">the </w:t>
      </w:r>
      <w:hyperlink r:id="rId20" w:history="1">
        <w:proofErr w:type="spellStart"/>
        <w:r w:rsidR="009C4265" w:rsidRPr="00A92A2E">
          <w:rPr>
            <w:rStyle w:val="Hyperlink"/>
            <w:rFonts w:cstheme="minorBidi"/>
          </w:rPr>
          <w:t>GrantConnect</w:t>
        </w:r>
        <w:proofErr w:type="spellEnd"/>
      </w:hyperlink>
      <w:r w:rsidR="00A92A2E">
        <w:t xml:space="preserve"> </w:t>
      </w:r>
      <w:r w:rsidR="009C4265">
        <w:t xml:space="preserve">and </w:t>
      </w:r>
      <w:hyperlink r:id="rId21" w:history="1">
        <w:r w:rsidR="009C4265" w:rsidRPr="00A92A2E">
          <w:rPr>
            <w:rStyle w:val="Hyperlink"/>
            <w:rFonts w:cstheme="minorBidi"/>
          </w:rPr>
          <w:t xml:space="preserve">Community Grants </w:t>
        </w:r>
        <w:r w:rsidR="00925ECE" w:rsidRPr="00A92A2E">
          <w:rPr>
            <w:rStyle w:val="Hyperlink"/>
            <w:rFonts w:cstheme="minorBidi"/>
          </w:rPr>
          <w:t>Hub</w:t>
        </w:r>
      </w:hyperlink>
      <w:r w:rsidR="00E32F35">
        <w:rPr>
          <w:rStyle w:val="Hyperlink"/>
          <w:rFonts w:cstheme="minorBidi"/>
        </w:rPr>
        <w:t xml:space="preserve"> </w:t>
      </w:r>
      <w:r w:rsidR="00E32F35" w:rsidRPr="00E32F35">
        <w:rPr>
          <w:rStyle w:val="highlightedtextChar"/>
          <w:b w:val="0"/>
          <w:color w:val="auto"/>
        </w:rPr>
        <w:t>websites.</w:t>
      </w:r>
      <w:r w:rsidRPr="00E32F35">
        <w:rPr>
          <w:rStyle w:val="highlightedtextChar"/>
          <w:color w:val="auto"/>
        </w:rPr>
        <w:t xml:space="preserve"> </w:t>
      </w:r>
      <w:r w:rsidRPr="00103A95">
        <w:t xml:space="preserve">The application form includes help information. </w:t>
      </w:r>
    </w:p>
    <w:p w:rsidR="00984B3C" w:rsidRPr="004475DB" w:rsidRDefault="00984B3C" w:rsidP="00984B3C">
      <w:r w:rsidRPr="004475DB">
        <w:t xml:space="preserve">This is an online application form that you must submit electronically. If you have any technical difficulties please contact 1800 020 283 or email </w:t>
      </w:r>
      <w:hyperlink r:id="rId22" w:history="1">
        <w:r w:rsidRPr="004475DB">
          <w:rPr>
            <w:rStyle w:val="Hyperlink"/>
          </w:rPr>
          <w:t>support@communitygrants.gov.au</w:t>
        </w:r>
      </w:hyperlink>
      <w:r w:rsidRPr="004475DB">
        <w:t>.</w:t>
      </w:r>
    </w:p>
    <w:p w:rsidR="00984B3C" w:rsidRPr="004475DB" w:rsidRDefault="00984B3C" w:rsidP="00984B3C">
      <w:r w:rsidRPr="004475DB">
        <w:t xml:space="preserve">The </w:t>
      </w:r>
      <w:r w:rsidR="002F4411" w:rsidRPr="002F4411">
        <w:rPr>
          <w:rStyle w:val="highlightedtextChar"/>
          <w:b w:val="0"/>
          <w:color w:val="auto"/>
        </w:rPr>
        <w:t>Hub</w:t>
      </w:r>
      <w:r w:rsidRPr="002F4411">
        <w:t xml:space="preserve"> </w:t>
      </w:r>
      <w:r w:rsidRPr="004475DB">
        <w:t xml:space="preserve">will not provide application forms or accept applications for this grant opportunity by fax or mail. </w:t>
      </w:r>
    </w:p>
    <w:p w:rsidR="00984B3C" w:rsidRPr="004475DB" w:rsidRDefault="00984B3C" w:rsidP="00984B3C">
      <w:pPr>
        <w:rPr>
          <w:b/>
        </w:rPr>
      </w:pPr>
      <w:r w:rsidRPr="004475DB">
        <w:lastRenderedPageBreak/>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B728AD" w:rsidRDefault="00984B3C" w:rsidP="00984B3C">
      <w:r w:rsidRPr="004475DB">
        <w:t xml:space="preserve">If you find a mistake in your application after it has been submitted, you should contact the Hub by phone on 1800 020 283 or by email at </w:t>
      </w:r>
      <w:hyperlink r:id="rId23" w:history="1">
        <w:r w:rsidRPr="004475DB">
          <w:rPr>
            <w:rStyle w:val="Hyperlink"/>
          </w:rPr>
          <w:t>support@communitygrants.gov.au</w:t>
        </w:r>
      </w:hyperlink>
      <w:r w:rsidRPr="004475DB">
        <w:t xml:space="preserve"> straight away. </w:t>
      </w:r>
    </w:p>
    <w:p w:rsidR="00984B3C" w:rsidRDefault="00984B3C" w:rsidP="00984B3C">
      <w:r w:rsidRPr="004475DB">
        <w:t>The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Hub does not have to </w:t>
      </w:r>
      <w:r w:rsidRPr="004475DB" w:rsidDel="00D505A5">
        <w:t>accept any additional information</w:t>
      </w:r>
      <w:r w:rsidRPr="004475DB">
        <w:t>, nor requests from applicants to correct applications</w:t>
      </w:r>
      <w:r w:rsidRPr="004475DB" w:rsidDel="00D505A5">
        <w:t xml:space="preserve"> after the closing time.</w:t>
      </w:r>
    </w:p>
    <w:p w:rsidR="00FB30E0" w:rsidRPr="00995116" w:rsidRDefault="00FB30E0" w:rsidP="00FB30E0">
      <w:pPr>
        <w:keepNext/>
        <w:suppressAutoHyphens w:val="0"/>
        <w:rPr>
          <w:rFonts w:eastAsia="Times New Roman" w:cstheme="minorHAnsi"/>
          <w:b/>
        </w:rPr>
      </w:pPr>
      <w:r w:rsidRPr="00995116">
        <w:rPr>
          <w:rStyle w:val="Hyperlink"/>
          <w:rFonts w:cstheme="minorBidi"/>
          <w:b/>
          <w:u w:val="none"/>
        </w:rPr>
        <w:t>Please note the requirements specific to each applicant type:</w:t>
      </w:r>
    </w:p>
    <w:p w:rsidR="00FB30E0" w:rsidRPr="00995116" w:rsidRDefault="00C4181B" w:rsidP="00FB30E0">
      <w:pPr>
        <w:keepNext/>
        <w:suppressAutoHyphens w:val="0"/>
        <w:rPr>
          <w:rFonts w:eastAsia="Times New Roman" w:cstheme="minorHAnsi"/>
          <w:b/>
        </w:rPr>
      </w:pPr>
      <w:r>
        <w:rPr>
          <w:rFonts w:eastAsia="Times New Roman" w:cstheme="minorHAnsi"/>
          <w:b/>
        </w:rPr>
        <w:t xml:space="preserve">Applicant in your own right </w:t>
      </w:r>
    </w:p>
    <w:p w:rsidR="00FB30E0" w:rsidRPr="00995116" w:rsidRDefault="00FB30E0" w:rsidP="000E7203">
      <w:pPr>
        <w:spacing w:before="0" w:after="0" w:line="0" w:lineRule="atLeast"/>
      </w:pPr>
      <w:r w:rsidRPr="00995116">
        <w:t xml:space="preserve">If you are applying in your own right you can also apply as a sponsoring applicant. The same application form can be used for either type of application, you just need to nominate in what capacity you are applying. A separate form is required for each type of application. </w:t>
      </w:r>
    </w:p>
    <w:p w:rsidR="00FB30E0" w:rsidRPr="000E7203" w:rsidRDefault="00C4181B" w:rsidP="00FB30E0">
      <w:pPr>
        <w:keepNext/>
        <w:suppressAutoHyphens w:val="0"/>
        <w:rPr>
          <w:rFonts w:eastAsia="Times New Roman" w:cstheme="minorHAnsi"/>
          <w:b/>
        </w:rPr>
      </w:pPr>
      <w:r>
        <w:rPr>
          <w:rFonts w:eastAsia="Times New Roman" w:cstheme="minorHAnsi"/>
          <w:b/>
        </w:rPr>
        <w:t xml:space="preserve">Sponsoring Applicant </w:t>
      </w:r>
    </w:p>
    <w:p w:rsidR="00FB30E0" w:rsidRPr="000E7203" w:rsidRDefault="00FB30E0" w:rsidP="000E7203">
      <w:pPr>
        <w:spacing w:before="0" w:after="0"/>
      </w:pPr>
      <w:r w:rsidRPr="000E7203">
        <w:t>If you are applying as a sponsoring applicant, you can also apply as an applicant in your own right.</w:t>
      </w:r>
    </w:p>
    <w:p w:rsidR="004E5301" w:rsidRDefault="00FB30E0" w:rsidP="00E32F35">
      <w:r w:rsidRPr="000E7203">
        <w:t>The sponsoring applicant must submit a separate grant application for each sponsored individual</w:t>
      </w:r>
      <w:r w:rsidR="00A7787A">
        <w:t xml:space="preserve"> or ineligible organisation</w:t>
      </w:r>
      <w:r w:rsidRPr="000E7203">
        <w:t>.</w:t>
      </w:r>
      <w:r w:rsidR="000E7203">
        <w:t xml:space="preserve"> </w:t>
      </w:r>
    </w:p>
    <w:p w:rsidR="00792497" w:rsidRPr="004475DB" w:rsidRDefault="00FB30E0" w:rsidP="00E32F35">
      <w:r w:rsidRPr="000E7203">
        <w:t xml:space="preserve">Your application must include a Letter of Declaration confirming sponsorship – completed by the sponsored individual </w:t>
      </w:r>
      <w:r w:rsidR="00995116" w:rsidRPr="000E7203">
        <w:t xml:space="preserve">or </w:t>
      </w:r>
      <w:r w:rsidR="00703D72">
        <w:t>in</w:t>
      </w:r>
      <w:r w:rsidR="00995116" w:rsidRPr="000E7203">
        <w:t xml:space="preserve">eligible organisation </w:t>
      </w:r>
      <w:r w:rsidRPr="000E7203">
        <w:t>on the template provided in the Grant Opportunity Documents</w:t>
      </w:r>
      <w:r w:rsidR="000E7203">
        <w:t>,</w:t>
      </w:r>
      <w:r w:rsidRPr="000E7203">
        <w:t xml:space="preserve"> which are available on the </w:t>
      </w:r>
      <w:hyperlink r:id="rId24" w:history="1">
        <w:proofErr w:type="spellStart"/>
        <w:r w:rsidRPr="000E7203">
          <w:rPr>
            <w:rStyle w:val="Hyperlink"/>
            <w:rFonts w:cstheme="minorBidi"/>
          </w:rPr>
          <w:t>GrantConnect</w:t>
        </w:r>
        <w:proofErr w:type="spellEnd"/>
      </w:hyperlink>
      <w:r w:rsidRPr="000E7203">
        <w:t xml:space="preserve"> and </w:t>
      </w:r>
      <w:hyperlink r:id="rId25" w:history="1">
        <w:r w:rsidRPr="000E7203">
          <w:rPr>
            <w:rStyle w:val="Hyperlink"/>
            <w:rFonts w:cstheme="minorBidi"/>
          </w:rPr>
          <w:t>Community Grants Hub</w:t>
        </w:r>
      </w:hyperlink>
      <w:r w:rsidRPr="000E7203">
        <w:rPr>
          <w:rStyle w:val="Hyperlink"/>
          <w:rFonts w:cstheme="minorBidi"/>
          <w:u w:val="none"/>
        </w:rPr>
        <w:t xml:space="preserve"> websites.</w:t>
      </w:r>
      <w:r w:rsidRPr="006D5D60">
        <w:t xml:space="preserve"> </w:t>
      </w:r>
    </w:p>
    <w:p w:rsidR="00340616" w:rsidRPr="002E2B74" w:rsidRDefault="00340616" w:rsidP="003717CD">
      <w:pPr>
        <w:pStyle w:val="Heading2Numbered"/>
      </w:pPr>
      <w:bookmarkStart w:id="67" w:name="_Ref416443515"/>
      <w:bookmarkStart w:id="68" w:name="_Toc421777616"/>
      <w:bookmarkStart w:id="69" w:name="_Ref422125371"/>
      <w:bookmarkStart w:id="70" w:name="_Ref422125393"/>
      <w:bookmarkStart w:id="71" w:name="_Toc433641170"/>
      <w:bookmarkStart w:id="72" w:name="_Toc467773970"/>
      <w:bookmarkStart w:id="73" w:name="_Toc528913511"/>
      <w:r w:rsidRPr="002E2B74">
        <w:t>Attachments</w:t>
      </w:r>
      <w:bookmarkEnd w:id="67"/>
      <w:r w:rsidRPr="002E2B74">
        <w:t xml:space="preserve"> to the application</w:t>
      </w:r>
      <w:bookmarkEnd w:id="68"/>
      <w:bookmarkEnd w:id="69"/>
      <w:bookmarkEnd w:id="70"/>
      <w:bookmarkEnd w:id="71"/>
      <w:bookmarkEnd w:id="72"/>
      <w:bookmarkEnd w:id="73"/>
    </w:p>
    <w:p w:rsidR="00340616" w:rsidRPr="00557422" w:rsidRDefault="00340616" w:rsidP="00340616">
      <w:r w:rsidRPr="00557422">
        <w:t>The following documents must be included with your application:</w:t>
      </w:r>
    </w:p>
    <w:p w:rsidR="00060319" w:rsidRDefault="00060319" w:rsidP="00103A95">
      <w:pPr>
        <w:pStyle w:val="Bullet1"/>
      </w:pPr>
      <w:r>
        <w:t>quote for each it</w:t>
      </w:r>
      <w:r w:rsidR="00EB3B39">
        <w:t>em you are seeking funding for</w:t>
      </w:r>
    </w:p>
    <w:p w:rsidR="00C13F92" w:rsidRDefault="00060319" w:rsidP="00103A95">
      <w:pPr>
        <w:pStyle w:val="Bullet1"/>
      </w:pPr>
      <w:r>
        <w:t xml:space="preserve">two most recent </w:t>
      </w:r>
      <w:r w:rsidR="00C4181B">
        <w:t xml:space="preserve">sets of </w:t>
      </w:r>
      <w:r>
        <w:t>financial statements</w:t>
      </w:r>
      <w:r w:rsidR="00E10035">
        <w:t>,</w:t>
      </w:r>
      <w:r w:rsidR="00C4181B">
        <w:t xml:space="preserve"> inclusive of profit and Loss Statement and Balance Sheet (preferably audited),</w:t>
      </w:r>
      <w:r w:rsidR="00E10035">
        <w:t xml:space="preserve"> if applying for funding $100,000</w:t>
      </w:r>
      <w:r w:rsidR="00E16C85">
        <w:t xml:space="preserve"> and over</w:t>
      </w:r>
    </w:p>
    <w:p w:rsidR="00060319" w:rsidRPr="00C4181B" w:rsidRDefault="00E10035" w:rsidP="00E10035">
      <w:pPr>
        <w:pStyle w:val="Bullet1"/>
        <w:rPr>
          <w:b/>
        </w:rPr>
      </w:pPr>
      <w:r>
        <w:t>a</w:t>
      </w:r>
      <w:r w:rsidR="00060319">
        <w:t xml:space="preserve"> content</w:t>
      </w:r>
      <w:r w:rsidR="00060319" w:rsidRPr="00557422">
        <w:t xml:space="preserve"> outline and </w:t>
      </w:r>
      <w:r w:rsidR="00060319">
        <w:t>sample chapter</w:t>
      </w:r>
      <w:r>
        <w:t>, if your project is for publication</w:t>
      </w:r>
      <w:r w:rsidR="00060319" w:rsidRPr="00557422">
        <w:t xml:space="preserve"> </w:t>
      </w:r>
    </w:p>
    <w:p w:rsidR="00BE288C" w:rsidRDefault="00C4181B" w:rsidP="00C4181B">
      <w:pPr>
        <w:pStyle w:val="Bullet1"/>
      </w:pPr>
      <w:r>
        <w:t xml:space="preserve">If applying as a sponsor, </w:t>
      </w:r>
      <w:r w:rsidR="00BE288C">
        <w:t xml:space="preserve">Letter of Declaration confirming sponsorship – completed by the sponsored </w:t>
      </w:r>
      <w:r w:rsidR="00A7787A" w:rsidRPr="000E7203">
        <w:t>individual</w:t>
      </w:r>
      <w:r w:rsidR="00A7787A">
        <w:t xml:space="preserve"> or ineligible organisation</w:t>
      </w:r>
      <w:r w:rsidR="00C901CA">
        <w:t xml:space="preserve"> </w:t>
      </w:r>
      <w:r w:rsidR="00BE288C">
        <w:t xml:space="preserve">on the template provided in </w:t>
      </w:r>
      <w:r w:rsidR="00574B5D">
        <w:t>the Grant Opportunity Documents</w:t>
      </w:r>
      <w:r w:rsidR="00BE288C">
        <w:t xml:space="preserve"> </w:t>
      </w:r>
    </w:p>
    <w:p w:rsidR="00F62F45" w:rsidRDefault="00F62F45" w:rsidP="00F62F45">
      <w:pPr>
        <w:pStyle w:val="Bullet1"/>
        <w:numPr>
          <w:ilvl w:val="0"/>
          <w:numId w:val="0"/>
        </w:numPr>
      </w:pPr>
      <w:r>
        <w:t xml:space="preserve">If applying as a Trustee on behalf of a Trust, a signed Trust Deed and any subsequent variations must be provided. </w:t>
      </w:r>
    </w:p>
    <w:p w:rsidR="00340616" w:rsidRPr="00557422" w:rsidRDefault="00340616" w:rsidP="00340616">
      <w:pPr>
        <w:spacing w:before="120"/>
      </w:pPr>
      <w:r w:rsidRPr="00557422">
        <w:t>Your supporting documentation should be attached to the application form.</w:t>
      </w:r>
      <w:r w:rsidR="005923A3" w:rsidRPr="00557422">
        <w:t xml:space="preserve"> There will be instructions in the application form to help you.</w:t>
      </w:r>
      <w:r w:rsidRPr="00557422">
        <w:t xml:space="preserve"> </w:t>
      </w:r>
      <w:r w:rsidRPr="00557422">
        <w:rPr>
          <w:rStyle w:val="Strong"/>
          <w:b w:val="0"/>
        </w:rPr>
        <w:t>Only attach the documents you have been asked to include</w:t>
      </w:r>
      <w:r w:rsidRPr="00557422">
        <w:rPr>
          <w:b/>
        </w:rPr>
        <w:t>.</w:t>
      </w:r>
      <w:r w:rsidRPr="00557422">
        <w:t xml:space="preserve"> </w:t>
      </w:r>
      <w:r w:rsidR="00974583">
        <w:t xml:space="preserve">If the selection process identifies errors in your attachment, you may be contacted to correct or explain the information. </w:t>
      </w:r>
    </w:p>
    <w:p w:rsidR="004475DB" w:rsidRPr="004475DB" w:rsidRDefault="004475DB" w:rsidP="00340616">
      <w:pPr>
        <w:spacing w:before="120"/>
      </w:pPr>
      <w:r w:rsidRPr="00557422">
        <w:rPr>
          <w:b/>
        </w:rPr>
        <w:lastRenderedPageBreak/>
        <w:t xml:space="preserve">Please note: </w:t>
      </w:r>
      <w:r w:rsidRPr="00557422">
        <w:t>There is a 2mb limit for each attachment.</w:t>
      </w:r>
    </w:p>
    <w:p w:rsidR="00340616" w:rsidRPr="00B72EE8" w:rsidRDefault="00340616" w:rsidP="003717CD">
      <w:pPr>
        <w:pStyle w:val="Heading2Numbered"/>
      </w:pPr>
      <w:bookmarkStart w:id="74" w:name="_Ref416444523"/>
      <w:bookmarkStart w:id="75" w:name="_Toc421777619"/>
      <w:bookmarkStart w:id="76" w:name="_Toc433641173"/>
      <w:bookmarkStart w:id="77" w:name="_Toc467773971"/>
      <w:bookmarkStart w:id="78" w:name="_Toc528913512"/>
      <w:r>
        <w:t>Applications from consortia</w:t>
      </w:r>
      <w:bookmarkEnd w:id="74"/>
      <w:bookmarkEnd w:id="75"/>
      <w:bookmarkEnd w:id="76"/>
      <w:bookmarkEnd w:id="77"/>
      <w:bookmarkEnd w:id="78"/>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who 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Pr="00B72EE8" w:rsidRDefault="00340616" w:rsidP="003717CD">
      <w:pPr>
        <w:pStyle w:val="Heading2Numbered"/>
      </w:pPr>
      <w:bookmarkStart w:id="79" w:name="_Toc384307739"/>
      <w:bookmarkStart w:id="80" w:name="_Toc384307810"/>
      <w:bookmarkStart w:id="81" w:name="_Toc389141038"/>
      <w:bookmarkStart w:id="82" w:name="_Toc433641171"/>
      <w:bookmarkStart w:id="83" w:name="_Toc467773972"/>
      <w:bookmarkStart w:id="84" w:name="_Toc528913513"/>
      <w:bookmarkStart w:id="85" w:name="_Toc421777609"/>
      <w:bookmarkEnd w:id="52"/>
      <w:r w:rsidRPr="00B72EE8">
        <w:t xml:space="preserve">Questions during the application </w:t>
      </w:r>
      <w:bookmarkEnd w:id="79"/>
      <w:bookmarkEnd w:id="80"/>
      <w:bookmarkEnd w:id="81"/>
      <w:bookmarkEnd w:id="82"/>
      <w:r>
        <w:t>process</w:t>
      </w:r>
      <w:bookmarkEnd w:id="83"/>
      <w:bookmarkEnd w:id="84"/>
    </w:p>
    <w:p w:rsidR="00340616" w:rsidRPr="00B72EE8" w:rsidRDefault="00340616" w:rsidP="00340616">
      <w:r w:rsidRPr="00103A95">
        <w:t>If you have any questions during the application period, please contact</w:t>
      </w:r>
      <w:r w:rsidR="00D14978">
        <w:t xml:space="preserve"> the Hub on 1800</w:t>
      </w:r>
      <w:r w:rsidR="00F12854">
        <w:t> </w:t>
      </w:r>
      <w:r w:rsidR="00D14978">
        <w:t>020</w:t>
      </w:r>
      <w:r w:rsidR="00F12854">
        <w:t> </w:t>
      </w:r>
      <w:r w:rsidR="00D14978">
        <w:t xml:space="preserve">283 or email to </w:t>
      </w:r>
      <w:hyperlink r:id="rId26" w:history="1">
        <w:r w:rsidR="00D14978" w:rsidRPr="004E1173">
          <w:rPr>
            <w:rStyle w:val="Hyperlink"/>
            <w:rFonts w:cstheme="minorBidi"/>
          </w:rPr>
          <w:t>support@communitygrants.gov.au</w:t>
        </w:r>
      </w:hyperlink>
      <w:r w:rsidR="00D14978">
        <w:t>.</w:t>
      </w:r>
      <w:r w:rsidRPr="00103A95">
        <w:t xml:space="preserve"> The </w:t>
      </w:r>
      <w:r w:rsidR="00061A22">
        <w:rPr>
          <w:rStyle w:val="highlightedtextChar"/>
          <w:b w:val="0"/>
          <w:color w:val="auto"/>
        </w:rPr>
        <w:t>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rsidR="00E32F35" w:rsidRDefault="00E32F35" w:rsidP="00E32F35">
      <w:r>
        <w:t>Answers to questions</w:t>
      </w:r>
      <w:r w:rsidRPr="00EA3E47">
        <w:t xml:space="preserve"> may be posted on </w:t>
      </w:r>
      <w:hyperlink r:id="rId27" w:history="1">
        <w:proofErr w:type="spellStart"/>
        <w:r w:rsidRPr="003D016A">
          <w:rPr>
            <w:rStyle w:val="Hyperlink"/>
            <w:rFonts w:cstheme="minorBidi"/>
          </w:rPr>
          <w:t>GrantConnect</w:t>
        </w:r>
        <w:proofErr w:type="spellEnd"/>
      </w:hyperlink>
      <w:r>
        <w:rPr>
          <w:rStyle w:val="Hyperlink"/>
          <w:rFonts w:cstheme="minorBidi"/>
        </w:rPr>
        <w:t xml:space="preserve"> </w:t>
      </w:r>
      <w:r w:rsidRPr="003D016A">
        <w:rPr>
          <w:rStyle w:val="Hyperlink"/>
          <w:rFonts w:cstheme="minorBidi"/>
          <w:u w:val="none"/>
        </w:rPr>
        <w:t xml:space="preserve">and on the </w:t>
      </w:r>
      <w:hyperlink r:id="rId28" w:history="1">
        <w:r w:rsidRPr="00192CC4">
          <w:rPr>
            <w:rStyle w:val="Hyperlink"/>
            <w:rFonts w:cstheme="minorBidi"/>
          </w:rPr>
          <w:t>Community Grants Hub</w:t>
        </w:r>
      </w:hyperlink>
      <w:r>
        <w:rPr>
          <w:rStyle w:val="Hyperlink"/>
          <w:rFonts w:cstheme="minorBidi"/>
          <w:u w:val="none"/>
        </w:rPr>
        <w:t xml:space="preserve"> website</w:t>
      </w:r>
      <w:r w:rsidRPr="00EA3E47">
        <w:t>.</w:t>
      </w:r>
      <w:r w:rsidDel="00FA6425">
        <w:t xml:space="preserve"> </w:t>
      </w:r>
    </w:p>
    <w:p w:rsidR="00BC0C62" w:rsidRDefault="00BC0C62" w:rsidP="00340616">
      <w:r>
        <w:t xml:space="preserve">The question period will </w:t>
      </w:r>
      <w:r w:rsidR="003357B0" w:rsidRPr="00557422">
        <w:t>c</w:t>
      </w:r>
      <w:r w:rsidRPr="00557422">
        <w:t xml:space="preserve">lose </w:t>
      </w:r>
      <w:r w:rsidRPr="00C901CA">
        <w:t xml:space="preserve">at </w:t>
      </w:r>
      <w:r w:rsidR="00F62F45">
        <w:t>5</w:t>
      </w:r>
      <w:r w:rsidR="00024E94" w:rsidRPr="00C901CA">
        <w:t>.00pm</w:t>
      </w:r>
      <w:r w:rsidR="004C33CE">
        <w:t xml:space="preserve"> AED</w:t>
      </w:r>
      <w:r w:rsidRPr="00C901CA">
        <w:t>T</w:t>
      </w:r>
      <w:r w:rsidR="00024E94" w:rsidRPr="00C901CA">
        <w:t xml:space="preserve"> </w:t>
      </w:r>
      <w:r w:rsidR="0004306B">
        <w:t>3 January 2019</w:t>
      </w:r>
      <w:r w:rsidR="00E96706" w:rsidRPr="00C901CA">
        <w:t>. Following</w:t>
      </w:r>
      <w:r w:rsidR="00E96706" w:rsidRPr="00557422">
        <w:t xml:space="preserve"> </w:t>
      </w:r>
      <w:r w:rsidR="00E96706">
        <w:t>this time, only questions relating to using and/or submitting the application form will be answered.</w:t>
      </w:r>
    </w:p>
    <w:p w:rsidR="00340616" w:rsidRPr="00B72EE8" w:rsidRDefault="00340616" w:rsidP="0054078D">
      <w:pPr>
        <w:pStyle w:val="Heading1Numbered"/>
      </w:pPr>
      <w:bookmarkStart w:id="86" w:name="_Toc467773974"/>
      <w:bookmarkStart w:id="87" w:name="_Toc528913514"/>
      <w:bookmarkEnd w:id="85"/>
      <w:r>
        <w:t>Assessment of grant ap</w:t>
      </w:r>
      <w:r w:rsidRPr="00B72EE8">
        <w:t>plications</w:t>
      </w:r>
      <w:bookmarkEnd w:id="86"/>
      <w:bookmarkEnd w:id="87"/>
    </w:p>
    <w:p w:rsidR="00340616" w:rsidRPr="00B72EE8" w:rsidRDefault="00340616" w:rsidP="003717CD">
      <w:pPr>
        <w:pStyle w:val="Heading2Numbered"/>
      </w:pPr>
      <w:bookmarkStart w:id="88" w:name="_Toc467773975"/>
      <w:bookmarkStart w:id="89" w:name="_Toc528913515"/>
      <w:bookmarkStart w:id="90" w:name="_Toc421777603"/>
      <w:r w:rsidRPr="00B72EE8">
        <w:t xml:space="preserve">Who will assess </w:t>
      </w:r>
      <w:r>
        <w:t>applications?</w:t>
      </w:r>
      <w:bookmarkEnd w:id="88"/>
      <w:bookmarkEnd w:id="89"/>
      <w:r>
        <w:t xml:space="preserve"> </w:t>
      </w:r>
      <w:bookmarkEnd w:id="90"/>
    </w:p>
    <w:p w:rsidR="009B4D33" w:rsidRDefault="00E32F35" w:rsidP="00DC1682">
      <w:pPr>
        <w:rPr>
          <w:rFonts w:cs="Times New Roman"/>
        </w:rPr>
      </w:pPr>
      <w:r w:rsidRPr="00E32F35">
        <w:rPr>
          <w:rFonts w:cs="Times New Roman"/>
        </w:rPr>
        <w:t xml:space="preserve">An assessment team will assess all eligible and compliant applications based on their merits. The assessment team will be comprised of </w:t>
      </w:r>
      <w:r w:rsidR="004134FD">
        <w:rPr>
          <w:rFonts w:cs="Times New Roman"/>
        </w:rPr>
        <w:t>departmental staff.</w:t>
      </w:r>
      <w:r w:rsidRPr="00E32F35">
        <w:rPr>
          <w:rFonts w:cs="Times New Roman"/>
        </w:rPr>
        <w:t xml:space="preserve"> The assessment team will undertake training to ensure consistent assessment of all applications. </w:t>
      </w:r>
    </w:p>
    <w:p w:rsidR="00DC1682" w:rsidRDefault="00DC1682" w:rsidP="00DC1682">
      <w:r w:rsidRPr="00A75BF8">
        <w:t>If the selection process identifies unintentional errors in your application, you may be contacted to correct or explain the information.</w:t>
      </w:r>
    </w:p>
    <w:p w:rsidR="005923A3" w:rsidRPr="00A75BF8" w:rsidRDefault="00483145" w:rsidP="00DC1682">
      <w:r>
        <w:rPr>
          <w:rFonts w:cs="Times New Roman"/>
        </w:rPr>
        <w:t>A Selection Advisory P</w:t>
      </w:r>
      <w:r w:rsidR="005923A3">
        <w:rPr>
          <w:rFonts w:cs="Times New Roman"/>
        </w:rPr>
        <w:t>anel (Commemorati</w:t>
      </w:r>
      <w:r w:rsidR="00C901CA">
        <w:rPr>
          <w:rFonts w:cs="Times New Roman"/>
        </w:rPr>
        <w:t>ons</w:t>
      </w:r>
      <w:r w:rsidR="005923A3">
        <w:rPr>
          <w:rFonts w:cs="Times New Roman"/>
        </w:rPr>
        <w:t xml:space="preserve"> Grants Advisory Committee) </w:t>
      </w:r>
      <w:r w:rsidR="00275F18">
        <w:rPr>
          <w:rFonts w:cs="Times New Roman"/>
        </w:rPr>
        <w:t xml:space="preserve">chaired by the Repatriation Commissioner and </w:t>
      </w:r>
      <w:r w:rsidR="005923A3">
        <w:rPr>
          <w:rFonts w:cs="Times New Roman"/>
        </w:rPr>
        <w:t>compris</w:t>
      </w:r>
      <w:r w:rsidR="00275F18">
        <w:rPr>
          <w:rFonts w:cs="Times New Roman"/>
        </w:rPr>
        <w:t>ing</w:t>
      </w:r>
      <w:r w:rsidR="005923A3">
        <w:rPr>
          <w:rFonts w:cs="Times New Roman"/>
        </w:rPr>
        <w:t xml:space="preserve"> </w:t>
      </w:r>
      <w:r w:rsidR="005923A3">
        <w:t xml:space="preserve">representatives from the Returned </w:t>
      </w:r>
      <w:r w:rsidR="00275F18">
        <w:t xml:space="preserve">and </w:t>
      </w:r>
      <w:r w:rsidR="005923A3">
        <w:t>Services League of Australia, the Australian Local Government</w:t>
      </w:r>
      <w:r w:rsidR="00275F18">
        <w:t xml:space="preserve"> Association</w:t>
      </w:r>
      <w:r w:rsidR="005923A3">
        <w:t>, the Australian War Memorial and DVA</w:t>
      </w:r>
      <w:r w:rsidR="005923A3">
        <w:rPr>
          <w:rFonts w:cs="Times New Roman"/>
        </w:rPr>
        <w:t xml:space="preserve"> will then review all applications to inform the final recommendations for funding</w:t>
      </w:r>
      <w:r w:rsidR="00792497">
        <w:rPr>
          <w:rFonts w:cs="Times New Roman"/>
        </w:rPr>
        <w:t>.</w:t>
      </w:r>
    </w:p>
    <w:p w:rsidR="00DC1682" w:rsidRPr="00A75BF8" w:rsidRDefault="00DC1682" w:rsidP="00DC1682">
      <w:pPr>
        <w:spacing w:before="120"/>
      </w:pPr>
      <w:r w:rsidRPr="00A75BF8">
        <w:t xml:space="preserve">The </w:t>
      </w:r>
      <w:r w:rsidR="00483145">
        <w:rPr>
          <w:rFonts w:cs="Times New Roman"/>
        </w:rPr>
        <w:t xml:space="preserve">Selection Advisory Panel </w:t>
      </w:r>
      <w:r w:rsidRPr="00A75BF8">
        <w:t>will make recommendations having regards to:</w:t>
      </w:r>
    </w:p>
    <w:p w:rsidR="00DC1682" w:rsidRPr="00A75BF8" w:rsidRDefault="00DC1682" w:rsidP="000E7203">
      <w:pPr>
        <w:pStyle w:val="Bullet1"/>
        <w:spacing w:after="0" w:line="240" w:lineRule="auto"/>
      </w:pPr>
      <w:r w:rsidRPr="00A75BF8">
        <w:t>over</w:t>
      </w:r>
      <w:r w:rsidR="00574B5D">
        <w:t>all objectives for each Program</w:t>
      </w:r>
    </w:p>
    <w:p w:rsidR="00DC1682" w:rsidRPr="00A75BF8" w:rsidRDefault="00DC1682" w:rsidP="000E7203">
      <w:pPr>
        <w:pStyle w:val="Bullet1"/>
        <w:spacing w:after="0" w:line="240" w:lineRule="auto"/>
      </w:pPr>
      <w:r w:rsidRPr="00A75BF8">
        <w:t>conform</w:t>
      </w:r>
      <w:r w:rsidR="00574B5D">
        <w:t>ance with eligibility criteria</w:t>
      </w:r>
    </w:p>
    <w:p w:rsidR="00DC1682" w:rsidRPr="00A75BF8" w:rsidRDefault="00DC1682" w:rsidP="000E7203">
      <w:pPr>
        <w:pStyle w:val="Bullet1"/>
        <w:spacing w:after="0" w:line="240" w:lineRule="auto"/>
      </w:pPr>
      <w:r w:rsidRPr="00A75BF8">
        <w:lastRenderedPageBreak/>
        <w:t>how the project</w:t>
      </w:r>
      <w:r w:rsidR="00683628">
        <w:t xml:space="preserve"> and/or activity</w:t>
      </w:r>
      <w:r w:rsidR="00574B5D">
        <w:t xml:space="preserve"> will be delivered</w:t>
      </w:r>
    </w:p>
    <w:p w:rsidR="00DC1682" w:rsidRPr="00A75BF8" w:rsidRDefault="00DC1682" w:rsidP="000E7203">
      <w:pPr>
        <w:pStyle w:val="Bullet1"/>
        <w:spacing w:after="0" w:line="240" w:lineRule="auto"/>
      </w:pPr>
      <w:r w:rsidRPr="00A75BF8">
        <w:t>value for money</w:t>
      </w:r>
    </w:p>
    <w:p w:rsidR="00EB552B" w:rsidRDefault="00EB552B" w:rsidP="00EB552B">
      <w:pPr>
        <w:spacing w:before="120"/>
      </w:pPr>
      <w:bookmarkStart w:id="91" w:name="_Toc467773976"/>
      <w:r w:rsidRPr="00A75BF8">
        <w:t xml:space="preserve">The </w:t>
      </w:r>
      <w:r w:rsidR="00483145">
        <w:rPr>
          <w:rFonts w:cs="Times New Roman"/>
        </w:rPr>
        <w:t xml:space="preserve">Selection Advisory Panel </w:t>
      </w:r>
      <w:r w:rsidRPr="00A75BF8">
        <w:t xml:space="preserve">may seek information about you or your application. They may do this from within the Commonwealth, even if the sources are not nominated by you as referees. The </w:t>
      </w:r>
      <w:r w:rsidR="00483145">
        <w:rPr>
          <w:rFonts w:cs="Times New Roman"/>
        </w:rPr>
        <w:t xml:space="preserve">Selection Advisory Panel </w:t>
      </w:r>
      <w:r w:rsidRPr="00A75BF8">
        <w:t>may also consider information about you or your application that is available through the normal course of business.</w:t>
      </w:r>
    </w:p>
    <w:p w:rsidR="00340616" w:rsidRPr="00647D91" w:rsidRDefault="00340616" w:rsidP="00EB552B">
      <w:pPr>
        <w:pStyle w:val="Heading2Numbered"/>
      </w:pPr>
      <w:bookmarkStart w:id="92" w:name="_Toc528913516"/>
      <w:r w:rsidRPr="00647D91">
        <w:t>Who will approve grants?</w:t>
      </w:r>
      <w:bookmarkEnd w:id="91"/>
      <w:bookmarkEnd w:id="92"/>
    </w:p>
    <w:p w:rsidR="000B2E96" w:rsidRPr="00103A95" w:rsidRDefault="000B2E96" w:rsidP="000B2E96">
      <w:r>
        <w:t xml:space="preserve">The </w:t>
      </w:r>
      <w:r w:rsidRPr="00FE60E6">
        <w:rPr>
          <w:rFonts w:cs="Times New Roman"/>
        </w:rPr>
        <w:t>Commemorati</w:t>
      </w:r>
      <w:r w:rsidR="00C901CA">
        <w:rPr>
          <w:rFonts w:cs="Times New Roman"/>
        </w:rPr>
        <w:t>ons</w:t>
      </w:r>
      <w:r w:rsidRPr="00FE60E6">
        <w:rPr>
          <w:rFonts w:cs="Times New Roman"/>
        </w:rPr>
        <w:t xml:space="preserve"> Grants Advisory Committee</w:t>
      </w:r>
      <w:r w:rsidR="00557422">
        <w:rPr>
          <w:rFonts w:cs="Times New Roman"/>
        </w:rPr>
        <w:t>, through DVA</w:t>
      </w:r>
      <w:r>
        <w:rPr>
          <w:rFonts w:cs="Times New Roman"/>
        </w:rPr>
        <w:t xml:space="preserve"> wi</w:t>
      </w:r>
      <w:r w:rsidRPr="00103A95">
        <w:t xml:space="preserve">ll make </w:t>
      </w:r>
      <w:r>
        <w:t>recommendations</w:t>
      </w:r>
      <w:r w:rsidRPr="00103A95">
        <w:t xml:space="preserve"> to</w:t>
      </w:r>
      <w:r>
        <w:t xml:space="preserve"> the Minister for Veterans’ Affairs through a briefing process. The Minister for Veterans’ Affairs will</w:t>
      </w:r>
      <w:r w:rsidRPr="00103A95">
        <w:t xml:space="preserve"> </w:t>
      </w:r>
      <w:r>
        <w:t xml:space="preserve">make the final decision to </w:t>
      </w:r>
      <w:r w:rsidRPr="00103A95">
        <w:t>approve a grant.</w:t>
      </w:r>
    </w:p>
    <w:p w:rsidR="00340616" w:rsidRPr="00103A95" w:rsidRDefault="00340616" w:rsidP="000E7203">
      <w:pPr>
        <w:spacing w:after="0" w:line="240" w:lineRule="auto"/>
      </w:pPr>
      <w:r w:rsidRPr="00103A95">
        <w:t xml:space="preserve">The </w:t>
      </w:r>
      <w:r w:rsidR="001D5A38" w:rsidRPr="001D5A38">
        <w:t>Minister</w:t>
      </w:r>
      <w:r w:rsidR="001D5A38">
        <w:t>’</w:t>
      </w:r>
      <w:r w:rsidR="001D5A38" w:rsidRPr="001D5A38">
        <w:t>s</w:t>
      </w:r>
      <w:r w:rsidRPr="00103A95">
        <w:rPr>
          <w:color w:val="745B00" w:themeColor="accent3" w:themeShade="80"/>
        </w:rPr>
        <w:t xml:space="preserve"> </w:t>
      </w:r>
      <w:r w:rsidRPr="00103A95">
        <w:t>decision is final in all matters, including:</w:t>
      </w:r>
    </w:p>
    <w:p w:rsidR="00340616" w:rsidRPr="00103A95" w:rsidRDefault="00340616" w:rsidP="000E7203">
      <w:pPr>
        <w:pStyle w:val="Bullet1"/>
        <w:spacing w:after="0" w:line="240" w:lineRule="auto"/>
      </w:pPr>
      <w:r w:rsidRPr="00103A95">
        <w:t>the approval of the grant</w:t>
      </w:r>
    </w:p>
    <w:p w:rsidR="00340616" w:rsidRPr="00103A95" w:rsidRDefault="00340616" w:rsidP="000E7203">
      <w:pPr>
        <w:pStyle w:val="Bullet1"/>
        <w:spacing w:after="0" w:line="240" w:lineRule="auto"/>
      </w:pPr>
      <w:r w:rsidRPr="00103A95">
        <w:t>the grant funding amount to be awarded</w:t>
      </w:r>
    </w:p>
    <w:p w:rsidR="00340616" w:rsidRPr="00103A95" w:rsidRDefault="00340616" w:rsidP="000E7203">
      <w:pPr>
        <w:pStyle w:val="Bullet1"/>
        <w:spacing w:after="0" w:line="240" w:lineRule="auto"/>
      </w:pPr>
      <w:r w:rsidRPr="00103A95">
        <w:t>the ter</w:t>
      </w:r>
      <w:r w:rsidR="00574B5D">
        <w:t>ms and conditions of the grant</w:t>
      </w:r>
    </w:p>
    <w:p w:rsidR="00340616" w:rsidRPr="00103A95" w:rsidRDefault="001D5A38" w:rsidP="00340616">
      <w:r>
        <w:t xml:space="preserve">The Minister will </w:t>
      </w:r>
      <w:r w:rsidR="00340616" w:rsidRPr="00103A95">
        <w:t xml:space="preserve">not approve funding if </w:t>
      </w:r>
      <w:r w:rsidR="00C4181B">
        <w:t>it is</w:t>
      </w:r>
      <w:r w:rsidR="00340616" w:rsidRPr="00103A95">
        <w:t xml:space="preserve"> reasonably consider</w:t>
      </w:r>
      <w:r w:rsidR="00C4181B">
        <w:t>ed that</w:t>
      </w:r>
      <w:r w:rsidR="00340616" w:rsidRPr="00103A95">
        <w:t xml:space="preserve"> the program funding available across financial years will not accommodate the funding offer, and/or the application does not represent value for money.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93" w:name="_Toc467773977"/>
      <w:bookmarkStart w:id="94" w:name="_Toc528913517"/>
      <w:r w:rsidRPr="00B72EE8">
        <w:t>Notification of application outcomes</w:t>
      </w:r>
      <w:bookmarkEnd w:id="93"/>
      <w:bookmarkEnd w:id="94"/>
    </w:p>
    <w:p w:rsidR="00340616" w:rsidRDefault="00340616" w:rsidP="00340616">
      <w:r>
        <w:t>You</w:t>
      </w:r>
      <w:r w:rsidRPr="00B72EE8">
        <w:t xml:space="preserve"> </w:t>
      </w:r>
      <w:r>
        <w:t xml:space="preserve">will be advised </w:t>
      </w:r>
      <w:r w:rsidRPr="00B72EE8">
        <w:t>of the outcome</w:t>
      </w:r>
      <w:r w:rsidR="009B4D33">
        <w:t xml:space="preserve"> </w:t>
      </w:r>
      <w:r w:rsidRPr="00B72EE8">
        <w:t xml:space="preserve">of </w:t>
      </w:r>
      <w:r>
        <w:t xml:space="preserve">your </w:t>
      </w:r>
      <w:r w:rsidRPr="002E0C03">
        <w:t>application in writing,</w:t>
      </w:r>
      <w:r w:rsidRPr="00B72EE8">
        <w:t xml:space="preserve"> fo</w:t>
      </w:r>
      <w:r w:rsidR="001D5A38">
        <w:t>llowing a decision by the Minister</w:t>
      </w:r>
      <w:r w:rsidR="00703D72">
        <w:t xml:space="preserve"> for Veterans’ Affairs</w:t>
      </w:r>
      <w:r w:rsidR="001D5A38">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EB552B" w:rsidRPr="00B72EE8" w:rsidRDefault="00EB552B" w:rsidP="00EB552B">
      <w:pPr>
        <w:pStyle w:val="Heading2Numbered"/>
      </w:pPr>
      <w:bookmarkStart w:id="95" w:name="_Toc467773978"/>
      <w:bookmarkStart w:id="96" w:name="_Toc488306291"/>
      <w:bookmarkStart w:id="97" w:name="_Toc528913518"/>
      <w:r w:rsidRPr="00B72EE8">
        <w:t xml:space="preserve">Feedback on </w:t>
      </w:r>
      <w:r>
        <w:t xml:space="preserve">your </w:t>
      </w:r>
      <w:r w:rsidRPr="00B72EE8">
        <w:t>application</w:t>
      </w:r>
      <w:bookmarkEnd w:id="95"/>
      <w:bookmarkEnd w:id="96"/>
      <w:bookmarkEnd w:id="97"/>
    </w:p>
    <w:p w:rsidR="00EB552B" w:rsidRDefault="00EB552B" w:rsidP="00EB552B">
      <w:r>
        <w:t>A Feedback Summary will be published on the Hub website to provide all organisations with easy to access information about the assessment process and the main strengths and areas for improving their applications.</w:t>
      </w:r>
    </w:p>
    <w:p w:rsidR="00340616" w:rsidRDefault="00340616" w:rsidP="0054078D">
      <w:pPr>
        <w:pStyle w:val="Heading1Numbered"/>
      </w:pPr>
      <w:bookmarkStart w:id="98" w:name="_Toc467773979"/>
      <w:bookmarkStart w:id="99" w:name="_Toc528913519"/>
      <w:bookmarkStart w:id="100" w:name="_Toc421777622"/>
      <w:bookmarkStart w:id="101" w:name="_Toc433641183"/>
      <w:r>
        <w:t>Successful grant applications</w:t>
      </w:r>
      <w:bookmarkEnd w:id="98"/>
      <w:bookmarkEnd w:id="99"/>
    </w:p>
    <w:p w:rsidR="00340616" w:rsidRDefault="00340616" w:rsidP="00892C8B">
      <w:pPr>
        <w:pStyle w:val="Heading2Numbered"/>
        <w:ind w:left="709" w:hanging="709"/>
      </w:pPr>
      <w:bookmarkStart w:id="102" w:name="_Toc467773980"/>
      <w:bookmarkStart w:id="103" w:name="_Toc528913520"/>
      <w:r>
        <w:t xml:space="preserve">The </w:t>
      </w:r>
      <w:r w:rsidRPr="0054078D">
        <w:t>grant agreement</w:t>
      </w:r>
      <w:bookmarkEnd w:id="102"/>
      <w:bookmarkEnd w:id="103"/>
    </w:p>
    <w:bookmarkEnd w:id="100"/>
    <w:bookmarkEnd w:id="101"/>
    <w:p w:rsidR="00664549" w:rsidRDefault="00C85512" w:rsidP="00C85512">
      <w:pPr>
        <w:pStyle w:val="Bullet"/>
        <w:tabs>
          <w:tab w:val="clear" w:pos="284"/>
          <w:tab w:val="num" w:pos="0"/>
        </w:tabs>
        <w:ind w:left="0" w:firstLine="0"/>
        <w:jc w:val="left"/>
      </w:pPr>
      <w:r w:rsidRPr="00323A5C">
        <w:rPr>
          <w:rFonts w:asciiTheme="minorHAnsi" w:hAnsiTheme="minorHAnsi" w:cstheme="minorHAnsi"/>
        </w:rPr>
        <w:t>If you are successful, you must enter into a legally binding grant agreement with the Commonwealth</w:t>
      </w:r>
      <w:r>
        <w:rPr>
          <w:rFonts w:asciiTheme="minorHAnsi" w:hAnsiTheme="minorHAnsi" w:cstheme="minorHAnsi"/>
        </w:rPr>
        <w:t xml:space="preserve"> as</w:t>
      </w:r>
      <w:r w:rsidRPr="00323A5C">
        <w:rPr>
          <w:rFonts w:asciiTheme="minorHAnsi" w:hAnsiTheme="minorHAnsi" w:cstheme="minorHAnsi"/>
        </w:rPr>
        <w:t xml:space="preserve"> </w:t>
      </w:r>
      <w:r w:rsidRPr="00E25F29">
        <w:rPr>
          <w:rFonts w:asciiTheme="minorHAnsi" w:hAnsiTheme="minorHAnsi" w:cstheme="minorHAnsi"/>
        </w:rPr>
        <w:t xml:space="preserve">represented </w:t>
      </w:r>
      <w:r w:rsidRPr="00F34F90">
        <w:rPr>
          <w:rFonts w:asciiTheme="minorHAnsi" w:hAnsiTheme="minorHAnsi" w:cstheme="minorHAnsi"/>
        </w:rPr>
        <w:t>by</w:t>
      </w:r>
      <w:r w:rsidRPr="00F34F90">
        <w:rPr>
          <w:rStyle w:val="highlightedtextChar"/>
          <w:rFonts w:asciiTheme="minorHAnsi" w:hAnsiTheme="minorHAnsi" w:cstheme="minorHAnsi"/>
          <w:b w:val="0"/>
          <w:color w:val="auto"/>
        </w:rPr>
        <w:t xml:space="preserve"> </w:t>
      </w:r>
      <w:r w:rsidR="00F34F90" w:rsidRPr="00F34F90">
        <w:rPr>
          <w:rStyle w:val="highlightedtextChar"/>
          <w:rFonts w:asciiTheme="minorHAnsi" w:hAnsiTheme="minorHAnsi" w:cstheme="minorHAnsi"/>
          <w:b w:val="0"/>
          <w:color w:val="auto"/>
        </w:rPr>
        <w:t xml:space="preserve">the </w:t>
      </w:r>
      <w:r w:rsidR="005923A3" w:rsidRPr="00F34F90">
        <w:rPr>
          <w:rStyle w:val="highlightedtextChar"/>
          <w:rFonts w:asciiTheme="minorHAnsi" w:hAnsiTheme="minorHAnsi" w:cstheme="minorHAnsi"/>
          <w:b w:val="0"/>
          <w:color w:val="auto"/>
        </w:rPr>
        <w:t>DVA</w:t>
      </w:r>
      <w:r w:rsidRPr="00F34F90">
        <w:rPr>
          <w:rStyle w:val="highlightedtextChar"/>
          <w:rFonts w:asciiTheme="minorHAnsi" w:hAnsiTheme="minorHAnsi" w:cstheme="minorHAnsi"/>
          <w:b w:val="0"/>
          <w:color w:val="auto"/>
        </w:rPr>
        <w:t xml:space="preserve">. </w:t>
      </w:r>
      <w:r w:rsidR="00F34F90" w:rsidRPr="00F34F90">
        <w:rPr>
          <w:rStyle w:val="highlightedtextChar"/>
          <w:rFonts w:asciiTheme="minorHAnsi" w:hAnsiTheme="minorHAnsi" w:cstheme="minorHAnsi"/>
          <w:b w:val="0"/>
          <w:color w:val="auto"/>
        </w:rPr>
        <w:t xml:space="preserve">The </w:t>
      </w:r>
      <w:r w:rsidR="005923A3" w:rsidRPr="00F34F90">
        <w:rPr>
          <w:rStyle w:val="highlightedtextChar"/>
          <w:rFonts w:asciiTheme="minorHAnsi" w:hAnsiTheme="minorHAnsi" w:cstheme="minorHAnsi"/>
          <w:b w:val="0"/>
          <w:color w:val="auto"/>
        </w:rPr>
        <w:t>DVA</w:t>
      </w:r>
      <w:r w:rsidRPr="00E02BE6">
        <w:rPr>
          <w:rStyle w:val="highlightedtextChar"/>
          <w:rFonts w:asciiTheme="minorHAnsi" w:hAnsiTheme="minorHAnsi" w:cstheme="minorHAnsi"/>
          <w:color w:val="auto"/>
        </w:rPr>
        <w:t xml:space="preserve"> </w:t>
      </w:r>
      <w:r>
        <w:t xml:space="preserve">will use either a Whole of Government </w:t>
      </w:r>
      <w:r w:rsidR="005923A3">
        <w:lastRenderedPageBreak/>
        <w:t>G</w:t>
      </w:r>
      <w:r>
        <w:t xml:space="preserve">rant </w:t>
      </w:r>
      <w:r w:rsidR="005923A3">
        <w:t>A</w:t>
      </w:r>
      <w:r>
        <w:t>greement</w:t>
      </w:r>
      <w:r w:rsidR="005923A3">
        <w:t xml:space="preserve"> </w:t>
      </w:r>
      <w:r>
        <w:t>Terms and Conditions</w:t>
      </w:r>
      <w:r w:rsidR="005923A3">
        <w:t xml:space="preserve"> (Commonwealth Standard or Simple Grant Agreement)</w:t>
      </w:r>
      <w:r w:rsidRPr="00F16A18">
        <w:t xml:space="preserve">, </w:t>
      </w:r>
      <w:r>
        <w:t>depend</w:t>
      </w:r>
      <w:r w:rsidR="009B4D33">
        <w:t>ing</w:t>
      </w:r>
      <w:r w:rsidR="008622BF">
        <w:t xml:space="preserve"> suitability to the Activity</w:t>
      </w:r>
      <w:r w:rsidR="009A5AC4">
        <w:t xml:space="preserve"> and Organisations to be funded. </w:t>
      </w:r>
    </w:p>
    <w:p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A schedule may be used to outline the specific grant requirements. Any additional conditions attached to the grant will be identified in the grant offer or during the grant agreement negotiations.</w:t>
      </w:r>
    </w:p>
    <w:p w:rsidR="009A5AC4" w:rsidRDefault="009A5AC4" w:rsidP="009A5AC4">
      <w:pPr>
        <w:rPr>
          <w:rFonts w:ascii="Arial" w:eastAsia="Calibri" w:hAnsi="Arial" w:cs="Arial"/>
        </w:rPr>
      </w:pPr>
      <w:r>
        <w:rPr>
          <w:rFonts w:ascii="Arial" w:eastAsia="Calibri" w:hAnsi="Arial" w:cs="Arial"/>
        </w:rPr>
        <w:t xml:space="preserve">Grant funds must be spent in accordance with the conditions of the Grant Agreement. Approval for any change to the project or expenditure of grant funds must be sought from </w:t>
      </w:r>
      <w:r w:rsidR="00F34F90">
        <w:rPr>
          <w:rFonts w:ascii="Arial" w:eastAsia="Calibri" w:hAnsi="Arial" w:cs="Arial"/>
        </w:rPr>
        <w:t xml:space="preserve">the </w:t>
      </w:r>
      <w:r>
        <w:rPr>
          <w:rFonts w:ascii="Arial" w:eastAsia="Calibri" w:hAnsi="Arial" w:cs="Arial"/>
        </w:rPr>
        <w:t>DVA in writing, and approval received before any changes are implemented.</w:t>
      </w:r>
    </w:p>
    <w:p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 xml:space="preserve">Successful applicants are required to record and maintain information supporting the appropriate use and expenditure of the funds. </w:t>
      </w:r>
      <w:bookmarkStart w:id="104" w:name="_Toc475979617"/>
      <w:bookmarkStart w:id="105" w:name="_Toc475454688"/>
      <w:bookmarkStart w:id="106" w:name="_Toc418842348"/>
      <w:bookmarkStart w:id="107" w:name="_Ref316629997"/>
      <w:r>
        <w:rPr>
          <w:rFonts w:ascii="Arial" w:eastAsia="Calibri" w:hAnsi="Arial" w:cs="Arial"/>
        </w:rPr>
        <w:t>Unspent grant funds must be returned to</w:t>
      </w:r>
      <w:r w:rsidR="00F34F90">
        <w:rPr>
          <w:rFonts w:ascii="Arial" w:eastAsia="Calibri" w:hAnsi="Arial" w:cs="Arial"/>
        </w:rPr>
        <w:t xml:space="preserve"> the</w:t>
      </w:r>
      <w:r>
        <w:rPr>
          <w:rFonts w:ascii="Arial" w:eastAsia="Calibri" w:hAnsi="Arial" w:cs="Arial"/>
        </w:rPr>
        <w:t xml:space="preserve"> DVA at the end of the project period.</w:t>
      </w:r>
      <w:bookmarkEnd w:id="104"/>
      <w:bookmarkEnd w:id="105"/>
      <w:bookmarkEnd w:id="106"/>
      <w:bookmarkEnd w:id="107"/>
    </w:p>
    <w:p w:rsidR="00A204E4" w:rsidRPr="00A204E4" w:rsidRDefault="00A204E4" w:rsidP="00A204E4">
      <w:pPr>
        <w:suppressAutoHyphens w:val="0"/>
        <w:spacing w:before="0" w:after="200" w:line="276" w:lineRule="auto"/>
      </w:pPr>
      <w:r w:rsidRPr="00A204E4">
        <w:t xml:space="preserve">You will be required to deliver the project and meet the performance reporting and financial acquittal requirements outlined in your grant agreement. </w:t>
      </w:r>
    </w:p>
    <w:p w:rsidR="009A5AC4" w:rsidRDefault="009A5AC4" w:rsidP="009A5AC4">
      <w:pPr>
        <w:suppressAutoHyphens w:val="0"/>
        <w:spacing w:before="0" w:after="200" w:line="276" w:lineRule="auto"/>
        <w:rPr>
          <w:rFonts w:ascii="Arial" w:eastAsia="Calibri" w:hAnsi="Arial" w:cs="Arial"/>
        </w:rPr>
      </w:pPr>
      <w:r>
        <w:rPr>
          <w:rFonts w:ascii="Arial" w:eastAsia="Calibri" w:hAnsi="Arial" w:cs="Arial"/>
        </w:rPr>
        <w:t xml:space="preserve">Organisations that are successful in obtaining grant funding must agree to the disclosure of their name and details of the project, as required under Commonwealth Government grant publication requirements. These details will be available on the </w:t>
      </w:r>
      <w:proofErr w:type="spellStart"/>
      <w:r w:rsidR="00A204E4">
        <w:rPr>
          <w:rFonts w:ascii="Arial" w:eastAsia="Calibri" w:hAnsi="Arial" w:cs="Arial"/>
        </w:rPr>
        <w:t>GrantConnect</w:t>
      </w:r>
      <w:proofErr w:type="spellEnd"/>
      <w:r w:rsidR="00A204E4">
        <w:rPr>
          <w:rFonts w:ascii="Arial" w:eastAsia="Calibri" w:hAnsi="Arial" w:cs="Arial"/>
        </w:rPr>
        <w:t xml:space="preserve"> and/or </w:t>
      </w:r>
      <w:r>
        <w:rPr>
          <w:rFonts w:ascii="Arial" w:eastAsia="Calibri" w:hAnsi="Arial" w:cs="Arial"/>
        </w:rPr>
        <w:t xml:space="preserve">DVA website for at least two years, and will be included in media releases and letters announcing the grant to Members of the Parliament of Australia. They will also be made available to the Australian National Audit Office and as required to meet Government accountability requirements. </w:t>
      </w:r>
    </w:p>
    <w:p w:rsidR="009A5AC4" w:rsidRDefault="009A5AC4" w:rsidP="009A5AC4">
      <w:r>
        <w:rPr>
          <w:rFonts w:ascii="Arial" w:eastAsia="Calibri" w:hAnsi="Arial" w:cs="Arial"/>
        </w:rPr>
        <w:t xml:space="preserve">Where a grantee fails to meet the obligations of the grant agreement, the Hub on behalf of </w:t>
      </w:r>
      <w:r w:rsidR="00F34F90">
        <w:rPr>
          <w:rFonts w:ascii="Arial" w:eastAsia="Calibri" w:hAnsi="Arial" w:cs="Arial"/>
        </w:rPr>
        <w:t xml:space="preserve">the </w:t>
      </w:r>
      <w:r>
        <w:rPr>
          <w:rFonts w:ascii="Arial" w:eastAsia="Calibri" w:hAnsi="Arial" w:cs="Arial"/>
        </w:rPr>
        <w:t>DVA may withhold grant funding and/or terminate a grant agreement.</w:t>
      </w:r>
    </w:p>
    <w:p w:rsidR="00340616" w:rsidRDefault="00340616" w:rsidP="00892C8B">
      <w:pPr>
        <w:pStyle w:val="Heading2Numbered"/>
      </w:pPr>
      <w:bookmarkStart w:id="108" w:name="_Toc467773981"/>
      <w:bookmarkStart w:id="109" w:name="_Toc528913521"/>
      <w:r>
        <w:t>How the grant will be paid</w:t>
      </w:r>
      <w:bookmarkEnd w:id="108"/>
      <w:bookmarkEnd w:id="109"/>
    </w:p>
    <w:p w:rsidR="009A5AC4" w:rsidRDefault="009A5AC4" w:rsidP="009A5AC4">
      <w:pPr>
        <w:suppressAutoHyphens w:val="0"/>
        <w:spacing w:before="0" w:after="200" w:line="276" w:lineRule="auto"/>
      </w:pPr>
      <w:r>
        <w:t>Approved funds will be paid to successful applicants within four weeks of the receipt of a completed Grant Agreement and relevant bank account details. Depending on the value and or risk associated with a proposal, DVA may choose to fund the proposal through progressive payments to the successful organisation/s.</w:t>
      </w:r>
      <w:r w:rsidR="00CA51D7">
        <w:t xml:space="preserve"> </w:t>
      </w:r>
    </w:p>
    <w:p w:rsidR="009A5AC4" w:rsidRDefault="009A5AC4" w:rsidP="00A204E4">
      <w:pPr>
        <w:suppressAutoHyphens w:val="0"/>
        <w:spacing w:before="0" w:after="200" w:line="276" w:lineRule="auto"/>
        <w:rPr>
          <w:bCs/>
          <w:lang w:eastAsia="en-AU"/>
        </w:rPr>
      </w:pPr>
      <w:r>
        <w:t>The Grant Agreement will state the amount to be paid to your organisation in a lump sum, unless otherwise specified.</w:t>
      </w:r>
    </w:p>
    <w:p w:rsidR="00340616" w:rsidRDefault="00340616" w:rsidP="0054078D">
      <w:pPr>
        <w:pStyle w:val="Heading1Numbered"/>
      </w:pPr>
      <w:bookmarkStart w:id="110" w:name="_Toc467773983"/>
      <w:bookmarkStart w:id="111" w:name="_Toc528913522"/>
      <w:r w:rsidRPr="001607E9">
        <w:t>Announcement</w:t>
      </w:r>
      <w:r>
        <w:t xml:space="preserve"> of grants</w:t>
      </w:r>
      <w:bookmarkEnd w:id="110"/>
      <w:bookmarkEnd w:id="111"/>
    </w:p>
    <w:p w:rsidR="00664549" w:rsidRPr="00726710" w:rsidRDefault="00664549" w:rsidP="00664549">
      <w:pPr>
        <w:rPr>
          <w:b/>
          <w:color w:val="745B00" w:themeColor="accent3" w:themeShade="80"/>
        </w:rPr>
      </w:pPr>
      <w:r>
        <w:t xml:space="preserve">If successful, your grant will be listed on </w:t>
      </w:r>
      <w:r w:rsidR="0095419B">
        <w:t xml:space="preserve">the </w:t>
      </w:r>
      <w:proofErr w:type="spellStart"/>
      <w:r>
        <w:t>GrantConnect</w:t>
      </w:r>
      <w:proofErr w:type="spellEnd"/>
      <w:r>
        <w:t xml:space="preserve"> </w:t>
      </w:r>
      <w:r w:rsidR="00726DB3">
        <w:t xml:space="preserve">within </w:t>
      </w:r>
      <w:r>
        <w:t xml:space="preserve">21 calendar days after the date of effect as required by Section 5.3 of the </w:t>
      </w:r>
      <w:hyperlink r:id="rId29" w:history="1">
        <w:r w:rsidRPr="00664549">
          <w:rPr>
            <w:rStyle w:val="Hyperlink"/>
            <w:rFonts w:cstheme="minorBidi"/>
          </w:rPr>
          <w:t>Commonwealth Grants Rules and Guidelines</w:t>
        </w:r>
        <w:r w:rsidRPr="00664549">
          <w:rPr>
            <w:rStyle w:val="Hyperlink"/>
            <w:rFonts w:cstheme="minorBidi"/>
            <w:i/>
            <w:iCs/>
          </w:rPr>
          <w:t xml:space="preserve"> </w:t>
        </w:r>
        <w:r w:rsidRPr="00664549">
          <w:rPr>
            <w:rStyle w:val="Hyperlink"/>
            <w:rFonts w:cstheme="minorBidi"/>
            <w:iCs/>
          </w:rPr>
          <w:t>(CGRGs).</w:t>
        </w:r>
      </w:hyperlink>
      <w:r>
        <w:rPr>
          <w:i/>
          <w:iCs/>
        </w:rPr>
        <w:t xml:space="preserve"> </w:t>
      </w:r>
    </w:p>
    <w:p w:rsidR="00340616" w:rsidRPr="00B72EE8" w:rsidRDefault="00340616" w:rsidP="0054078D">
      <w:pPr>
        <w:pStyle w:val="Heading1Numbered"/>
      </w:pPr>
      <w:bookmarkStart w:id="112" w:name="_Toc421777623"/>
      <w:bookmarkStart w:id="113" w:name="_Toc467773984"/>
      <w:bookmarkStart w:id="114" w:name="_Toc528913523"/>
      <w:r w:rsidRPr="00B72EE8">
        <w:lastRenderedPageBreak/>
        <w:t xml:space="preserve">Delivery of </w:t>
      </w:r>
      <w:r>
        <w:t>g</w:t>
      </w:r>
      <w:r w:rsidRPr="00B72EE8">
        <w:t>rant</w:t>
      </w:r>
      <w:r>
        <w:t xml:space="preserve"> activities</w:t>
      </w:r>
      <w:bookmarkEnd w:id="112"/>
      <w:bookmarkEnd w:id="113"/>
      <w:bookmarkEnd w:id="114"/>
    </w:p>
    <w:p w:rsidR="00340616" w:rsidRPr="00B72EE8" w:rsidDel="00D505A5" w:rsidRDefault="00340616" w:rsidP="00892C8B">
      <w:pPr>
        <w:pStyle w:val="Heading2Numbered"/>
        <w:ind w:left="709" w:hanging="709"/>
      </w:pPr>
      <w:bookmarkStart w:id="115" w:name="_Toc421777624"/>
      <w:bookmarkStart w:id="116" w:name="_Toc433641185"/>
      <w:bookmarkStart w:id="117" w:name="_Toc467773985"/>
      <w:bookmarkStart w:id="118" w:name="_Toc528913524"/>
      <w:r>
        <w:t>Your</w:t>
      </w:r>
      <w:r w:rsidRPr="00B72EE8" w:rsidDel="00D505A5">
        <w:t xml:space="preserve"> responsibilities</w:t>
      </w:r>
      <w:bookmarkEnd w:id="115"/>
      <w:bookmarkEnd w:id="116"/>
      <w:bookmarkEnd w:id="117"/>
      <w:bookmarkEnd w:id="118"/>
    </w:p>
    <w:p w:rsidR="00664549" w:rsidRDefault="00664549" w:rsidP="00664549">
      <w:pPr>
        <w:rPr>
          <w:rFonts w:cstheme="minorHAnsi"/>
        </w:rPr>
      </w:pPr>
      <w:bookmarkStart w:id="119" w:name="_Toc420671454"/>
      <w:bookmarkStart w:id="120" w:name="_Toc433641186"/>
      <w:bookmarkStart w:id="121" w:name="_Toc467773986"/>
      <w:r w:rsidRPr="00323A5C">
        <w:rPr>
          <w:rFonts w:cstheme="minorHAnsi"/>
        </w:rPr>
        <w:t>You must submit reports</w:t>
      </w:r>
      <w:r w:rsidRPr="00323A5C">
        <w:rPr>
          <w:rFonts w:cstheme="minorHAnsi"/>
          <w:b/>
        </w:rPr>
        <w:t xml:space="preserve"> </w:t>
      </w:r>
      <w:r w:rsidRPr="00323A5C">
        <w:rPr>
          <w:rFonts w:cstheme="minorHAnsi"/>
        </w:rPr>
        <w:t>in line with the</w:t>
      </w:r>
      <w:r w:rsidRPr="00323A5C" w:rsidDel="00D505A5">
        <w:rPr>
          <w:rFonts w:cstheme="minorHAnsi"/>
        </w:rPr>
        <w:t xml:space="preserve"> timeframes </w:t>
      </w:r>
      <w:r w:rsidRPr="00323A5C">
        <w:rPr>
          <w:rFonts w:cstheme="minorHAnsi"/>
        </w:rPr>
        <w:t xml:space="preserve">in the </w:t>
      </w:r>
      <w:hyperlink r:id="rId30" w:history="1">
        <w:r w:rsidRPr="00323A5C">
          <w:rPr>
            <w:rFonts w:cstheme="minorHAnsi"/>
          </w:rPr>
          <w:t>grant agreement</w:t>
        </w:r>
      </w:hyperlink>
      <w:r w:rsidRPr="00323A5C">
        <w:rPr>
          <w:rFonts w:cstheme="minorHAnsi"/>
        </w:rPr>
        <w:t xml:space="preserve">. We will provide sample templates for these reports in the grant agreement. </w:t>
      </w:r>
    </w:p>
    <w:p w:rsidR="00664549" w:rsidRPr="00323A5C" w:rsidRDefault="00664549" w:rsidP="00664549">
      <w:pPr>
        <w:rPr>
          <w:rFonts w:cstheme="minorHAnsi"/>
        </w:rPr>
      </w:pPr>
      <w:r w:rsidRPr="00323A5C">
        <w:rPr>
          <w:rFonts w:cstheme="minorHAnsi"/>
        </w:rPr>
        <w:t>We will expect you to report on</w:t>
      </w:r>
      <w:r>
        <w:rPr>
          <w:rFonts w:cstheme="minorHAnsi"/>
        </w:rPr>
        <w:t>:</w:t>
      </w:r>
    </w:p>
    <w:p w:rsidR="00664549" w:rsidRPr="00323A5C" w:rsidRDefault="00664549" w:rsidP="00664549">
      <w:pPr>
        <w:pStyle w:val="Bullet1"/>
        <w:rPr>
          <w:rFonts w:cstheme="minorHAnsi"/>
        </w:rPr>
      </w:pPr>
      <w:r w:rsidRPr="00323A5C">
        <w:rPr>
          <w:rFonts w:cstheme="minorHAnsi"/>
        </w:rPr>
        <w:t>progress against agreed project milestones</w:t>
      </w:r>
    </w:p>
    <w:p w:rsidR="00664549" w:rsidRPr="00323A5C" w:rsidRDefault="00664549" w:rsidP="00664549">
      <w:pPr>
        <w:pStyle w:val="Bullet1"/>
        <w:rPr>
          <w:rFonts w:cstheme="minorHAnsi"/>
        </w:rPr>
      </w:pPr>
      <w:r w:rsidRPr="00323A5C">
        <w:rPr>
          <w:rFonts w:cstheme="minorHAnsi"/>
        </w:rPr>
        <w:t>contributions of participants directly related to the project</w:t>
      </w:r>
    </w:p>
    <w:p w:rsidR="00664549" w:rsidRPr="00323A5C" w:rsidRDefault="00664549" w:rsidP="00664549">
      <w:pPr>
        <w:pStyle w:val="Bullet1"/>
        <w:rPr>
          <w:rFonts w:cstheme="minorHAnsi"/>
        </w:rPr>
      </w:pPr>
      <w:r w:rsidRPr="00323A5C">
        <w:rPr>
          <w:rFonts w:cstheme="minorHAnsi"/>
        </w:rPr>
        <w:t xml:space="preserve">eligible expenditure of </w:t>
      </w:r>
      <w:r w:rsidR="00574B5D">
        <w:rPr>
          <w:rFonts w:cstheme="minorHAnsi"/>
        </w:rPr>
        <w:t>grant funds</w:t>
      </w:r>
    </w:p>
    <w:p w:rsidR="00664549" w:rsidRPr="00323A5C" w:rsidRDefault="00664549" w:rsidP="00664549">
      <w:pPr>
        <w:rPr>
          <w:rFonts w:cstheme="minorHAnsi"/>
        </w:rPr>
      </w:pPr>
      <w:r w:rsidRPr="00323A5C">
        <w:rPr>
          <w:rFonts w:cstheme="minorHAnsi"/>
        </w:rPr>
        <w:t>You</w:t>
      </w:r>
      <w:r w:rsidRPr="00323A5C" w:rsidDel="00D505A5">
        <w:rPr>
          <w:rFonts w:cstheme="minorHAnsi"/>
        </w:rPr>
        <w:t xml:space="preserve"> </w:t>
      </w:r>
      <w:r w:rsidRPr="00323A5C">
        <w:rPr>
          <w:rFonts w:cstheme="minorHAnsi"/>
        </w:rPr>
        <w:t>will also</w:t>
      </w:r>
      <w:r w:rsidRPr="00323A5C">
        <w:rPr>
          <w:rFonts w:cstheme="minorHAnsi"/>
          <w:b/>
          <w:color w:val="745B00" w:themeColor="accent3" w:themeShade="80"/>
        </w:rPr>
        <w:t xml:space="preserve"> </w:t>
      </w:r>
      <w:r w:rsidRPr="00323A5C">
        <w:rPr>
          <w:rFonts w:cstheme="minorHAnsi"/>
        </w:rPr>
        <w:t>be</w:t>
      </w:r>
      <w:r w:rsidRPr="00323A5C" w:rsidDel="00D505A5">
        <w:rPr>
          <w:rFonts w:cstheme="minorHAnsi"/>
        </w:rPr>
        <w:t xml:space="preserve"> responsible for:</w:t>
      </w:r>
    </w:p>
    <w:p w:rsidR="00664549" w:rsidRPr="00323A5C" w:rsidDel="00D505A5" w:rsidRDefault="00664549" w:rsidP="00664549">
      <w:pPr>
        <w:pStyle w:val="Bullet1"/>
        <w:rPr>
          <w:rFonts w:cstheme="minorHAnsi"/>
        </w:rPr>
      </w:pPr>
      <w:r w:rsidRPr="00323A5C">
        <w:rPr>
          <w:rFonts w:cstheme="minorHAnsi"/>
        </w:rPr>
        <w:t>meeting</w:t>
      </w:r>
      <w:r w:rsidRPr="00323A5C" w:rsidDel="00D505A5">
        <w:rPr>
          <w:rFonts w:cstheme="minorHAnsi"/>
        </w:rPr>
        <w:t xml:space="preserve"> the terms and conditions of the grant agreement </w:t>
      </w:r>
      <w:r w:rsidRPr="00323A5C">
        <w:rPr>
          <w:rFonts w:cstheme="minorHAnsi"/>
        </w:rPr>
        <w:t>and managing the</w:t>
      </w:r>
      <w:r w:rsidRPr="00323A5C" w:rsidDel="00D505A5">
        <w:rPr>
          <w:rFonts w:cstheme="minorHAnsi"/>
        </w:rPr>
        <w:t xml:space="preserve"> activity efficient</w:t>
      </w:r>
      <w:r w:rsidRPr="00323A5C">
        <w:rPr>
          <w:rFonts w:cstheme="minorHAnsi"/>
        </w:rPr>
        <w:t>ly</w:t>
      </w:r>
      <w:r w:rsidRPr="00323A5C" w:rsidDel="00D505A5">
        <w:rPr>
          <w:rFonts w:cstheme="minorHAnsi"/>
        </w:rPr>
        <w:t xml:space="preserve"> and effective</w:t>
      </w:r>
      <w:r w:rsidRPr="00323A5C">
        <w:rPr>
          <w:rFonts w:cstheme="minorHAnsi"/>
        </w:rPr>
        <w:t>ly</w:t>
      </w:r>
    </w:p>
    <w:p w:rsidR="00664549" w:rsidRPr="00323A5C" w:rsidDel="00D505A5" w:rsidRDefault="00664549" w:rsidP="00664549">
      <w:pPr>
        <w:pStyle w:val="Bullet1"/>
        <w:rPr>
          <w:rFonts w:cstheme="minorHAnsi"/>
        </w:rPr>
      </w:pPr>
      <w:r w:rsidRPr="00323A5C" w:rsidDel="00D505A5">
        <w:rPr>
          <w:rFonts w:cstheme="minorHAnsi"/>
        </w:rPr>
        <w:t xml:space="preserve">complying with record keeping, reporting and acquittal requirements </w:t>
      </w:r>
      <w:r w:rsidRPr="00323A5C">
        <w:rPr>
          <w:rFonts w:cstheme="minorHAnsi"/>
        </w:rPr>
        <w:t>as set out in the grant agreement</w:t>
      </w:r>
    </w:p>
    <w:p w:rsidR="00664549" w:rsidRPr="007E137F" w:rsidDel="00D505A5" w:rsidRDefault="00664549" w:rsidP="00664549">
      <w:pPr>
        <w:pStyle w:val="Bullet1"/>
        <w:spacing w:before="0" w:after="100" w:afterAutospacing="1"/>
        <w:rPr>
          <w:rFonts w:cstheme="minorHAnsi"/>
          <w:b/>
        </w:rPr>
      </w:pPr>
      <w:r w:rsidRPr="00323A5C" w:rsidDel="00D505A5">
        <w:rPr>
          <w:rFonts w:cstheme="minorHAnsi"/>
        </w:rPr>
        <w:t xml:space="preserve">participating in </w:t>
      </w:r>
      <w:r w:rsidRPr="00323A5C">
        <w:rPr>
          <w:rFonts w:cstheme="minorHAnsi"/>
        </w:rPr>
        <w:t>a grant program e</w:t>
      </w:r>
      <w:r w:rsidRPr="00323A5C" w:rsidDel="00D505A5">
        <w:rPr>
          <w:rFonts w:cstheme="minorHAnsi"/>
        </w:rPr>
        <w:t xml:space="preserve">valuation as </w:t>
      </w:r>
      <w:r w:rsidRPr="00323A5C">
        <w:rPr>
          <w:rFonts w:cstheme="minorHAnsi"/>
        </w:rPr>
        <w:t>specified in the grant agreement</w:t>
      </w:r>
    </w:p>
    <w:p w:rsidR="00340616" w:rsidRPr="00B72EE8" w:rsidRDefault="00523706" w:rsidP="00892C8B">
      <w:pPr>
        <w:pStyle w:val="Heading2Numbered"/>
        <w:ind w:left="709" w:hanging="709"/>
      </w:pPr>
      <w:bookmarkStart w:id="122" w:name="_Toc528913525"/>
      <w:r>
        <w:rPr>
          <w:color w:val="auto"/>
        </w:rPr>
        <w:t xml:space="preserve">The </w:t>
      </w:r>
      <w:r w:rsidRPr="00523706">
        <w:rPr>
          <w:color w:val="auto"/>
        </w:rPr>
        <w:t xml:space="preserve">Community Grant Hub’s </w:t>
      </w:r>
      <w:r w:rsidR="00340616" w:rsidRPr="00B72EE8">
        <w:t>responsibilities</w:t>
      </w:r>
      <w:bookmarkEnd w:id="119"/>
      <w:bookmarkEnd w:id="120"/>
      <w:bookmarkEnd w:id="121"/>
      <w:bookmarkEnd w:id="122"/>
    </w:p>
    <w:p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23706">
        <w:rPr>
          <w:rFonts w:cstheme="minorHAnsi"/>
        </w:rPr>
        <w:t>Hub</w:t>
      </w:r>
      <w:r w:rsidR="00DB0937" w:rsidRPr="0069141B">
        <w:rPr>
          <w:rFonts w:cstheme="minorHAnsi"/>
          <w:b/>
        </w:rPr>
        <w:t xml:space="preserve"> </w:t>
      </w:r>
      <w:r w:rsidRPr="00726710">
        <w:rPr>
          <w:rFonts w:cstheme="minorHAnsi"/>
        </w:rPr>
        <w:t xml:space="preserve">will: </w:t>
      </w:r>
    </w:p>
    <w:p w:rsidR="00340616" w:rsidRPr="00726710" w:rsidRDefault="00340616" w:rsidP="00726710">
      <w:pPr>
        <w:pStyle w:val="Bullet1"/>
      </w:pPr>
      <w:r w:rsidRPr="00726710">
        <w:t>meet the terms and conditions</w:t>
      </w:r>
      <w:r w:rsidR="00574B5D">
        <w:t xml:space="preserve"> set out in the grant agreement</w:t>
      </w:r>
    </w:p>
    <w:p w:rsidR="00340616" w:rsidRPr="00726710" w:rsidRDefault="00340616" w:rsidP="00726710">
      <w:pPr>
        <w:pStyle w:val="Bullet1"/>
      </w:pPr>
      <w:r w:rsidRPr="00726710">
        <w:t>provide time</w:t>
      </w:r>
      <w:r w:rsidR="00574B5D">
        <w:t>ly administration of the grant</w:t>
      </w:r>
    </w:p>
    <w:p w:rsidR="00340616" w:rsidRPr="00726710" w:rsidRDefault="00340616" w:rsidP="00726710">
      <w:pPr>
        <w:pStyle w:val="Bullet1"/>
      </w:pPr>
      <w:r w:rsidRPr="00726710">
        <w:t>eva</w:t>
      </w:r>
      <w:r w:rsidR="00574B5D">
        <w:t>luate the grantee’s performance</w:t>
      </w:r>
    </w:p>
    <w:p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rsidR="00340616" w:rsidRPr="00B72EE8" w:rsidRDefault="00340616" w:rsidP="00892C8B">
      <w:pPr>
        <w:pStyle w:val="Heading2Numbered"/>
        <w:ind w:left="709" w:hanging="709"/>
      </w:pPr>
      <w:bookmarkStart w:id="123" w:name="_Toc421777626"/>
      <w:bookmarkStart w:id="124" w:name="_Toc467773987"/>
      <w:bookmarkStart w:id="125" w:name="_Toc528913526"/>
      <w:bookmarkStart w:id="126" w:name="_Toc433641188"/>
      <w:r>
        <w:t>Grant p</w:t>
      </w:r>
      <w:r w:rsidRPr="00B72EE8">
        <w:t>ayments</w:t>
      </w:r>
      <w:bookmarkEnd w:id="123"/>
      <w:r>
        <w:t xml:space="preserve"> and GST</w:t>
      </w:r>
      <w:bookmarkEnd w:id="124"/>
      <w:bookmarkEnd w:id="125"/>
      <w:r>
        <w:t xml:space="preserve"> </w:t>
      </w:r>
      <w:bookmarkEnd w:id="126"/>
    </w:p>
    <w:p w:rsidR="00726DB3" w:rsidRDefault="00726DB3" w:rsidP="00726DB3">
      <w:pPr>
        <w:tabs>
          <w:tab w:val="left" w:pos="1418"/>
          <w:tab w:val="right" w:pos="9071"/>
        </w:tabs>
        <w:suppressAutoHyphens w:val="0"/>
        <w:spacing w:before="0" w:after="120" w:line="240" w:lineRule="auto"/>
        <w:rPr>
          <w:rFonts w:eastAsia="Times New Roman" w:cstheme="minorHAnsi"/>
          <w:lang w:eastAsia="en-AU"/>
        </w:rPr>
      </w:pPr>
      <w:r>
        <w:rPr>
          <w:rFonts w:eastAsia="Times New Roman" w:cstheme="minorHAnsi"/>
          <w:lang w:eastAsia="en-AU"/>
        </w:rPr>
        <w:t xml:space="preserve">Grants provided by DVA under the MCGs are financial assistance payments. As such, MCGs are provided on a GST exclusive basis and there is </w:t>
      </w:r>
      <w:r>
        <w:rPr>
          <w:rFonts w:eastAsia="Times New Roman" w:cstheme="minorHAnsi"/>
          <w:u w:val="single"/>
          <w:lang w:eastAsia="en-AU"/>
        </w:rPr>
        <w:t>no GST</w:t>
      </w:r>
      <w:r>
        <w:rPr>
          <w:rFonts w:eastAsia="Times New Roman" w:cstheme="minorHAnsi"/>
          <w:lang w:eastAsia="en-AU"/>
        </w:rPr>
        <w:t xml:space="preserve"> liability arising for successful applicants in receipt of a MCG because there is no taxable supply made by the Grantee to DVA. This means that, if your organisation is registered for GST, your organisation does not need to remit any GST to the Australian Tax Office (ATO) as the </w:t>
      </w:r>
      <w:r w:rsidR="00792497">
        <w:rPr>
          <w:rFonts w:eastAsia="Times New Roman" w:cstheme="minorHAnsi"/>
          <w:lang w:eastAsia="en-AU"/>
        </w:rPr>
        <w:t>MCG you</w:t>
      </w:r>
      <w:r>
        <w:rPr>
          <w:rFonts w:eastAsia="Times New Roman" w:cstheme="minorHAnsi"/>
          <w:lang w:eastAsia="en-AU"/>
        </w:rPr>
        <w:t xml:space="preserve"> receive from DVA is not a consideration for a taxable supply. </w:t>
      </w:r>
    </w:p>
    <w:p w:rsidR="00726DB3" w:rsidRDefault="00726DB3" w:rsidP="00726DB3">
      <w:pPr>
        <w:spacing w:before="120" w:after="0"/>
      </w:pPr>
      <w:r>
        <w:rPr>
          <w:rFonts w:eastAsia="Times New Roman" w:cstheme="minorHAnsi"/>
          <w:lang w:eastAsia="en-AU"/>
        </w:rPr>
        <w:t>If you have any queries in relation to the transactions you enter into with third parties as a result of a grant received under MCG, you may wish to speak with the ATO or your financial advisor</w:t>
      </w:r>
      <w:r>
        <w:rPr>
          <w:rFonts w:cstheme="minorHAnsi"/>
        </w:rPr>
        <w:t xml:space="preserve"> about the effect of receiving a grant before you enter into a grant agreement. You can also visit the </w:t>
      </w:r>
      <w:hyperlink r:id="rId31" w:history="1">
        <w:r>
          <w:rPr>
            <w:rStyle w:val="Hyperlink"/>
            <w:rFonts w:cstheme="minorHAnsi"/>
          </w:rPr>
          <w:t>Australian Taxation Office website</w:t>
        </w:r>
      </w:hyperlink>
      <w:r>
        <w:rPr>
          <w:rFonts w:cstheme="minorHAnsi"/>
        </w:rPr>
        <w:t xml:space="preserve"> for more information.</w:t>
      </w:r>
    </w:p>
    <w:p w:rsidR="0069141B" w:rsidRPr="00305665" w:rsidRDefault="0069141B" w:rsidP="007F518C">
      <w:pPr>
        <w:pStyle w:val="Heading2Numbered"/>
        <w:numPr>
          <w:ilvl w:val="1"/>
          <w:numId w:val="19"/>
        </w:numPr>
        <w:ind w:left="709" w:hanging="709"/>
      </w:pPr>
      <w:bookmarkStart w:id="127" w:name="_Toc488306301"/>
      <w:bookmarkStart w:id="128" w:name="_Toc528913527"/>
      <w:r>
        <w:lastRenderedPageBreak/>
        <w:t>Reporting</w:t>
      </w:r>
      <w:bookmarkEnd w:id="127"/>
      <w:bookmarkEnd w:id="128"/>
    </w:p>
    <w:p w:rsidR="002314E4" w:rsidRPr="00A52472" w:rsidRDefault="002314E4" w:rsidP="002314E4">
      <w:pPr>
        <w:spacing w:after="120"/>
      </w:pPr>
      <w:bookmarkStart w:id="129" w:name="_Toc421777629"/>
      <w:bookmarkStart w:id="130" w:name="_Toc467773988"/>
      <w:r>
        <w:t>All funded projects will be subject to financial and performance reporting requirements and meeting specified milestones. Grantees will need to keep records of project activities and monitor project progress, expenditure and the project’s results. This information will help grantees to report on and evaluate the success of their project.</w:t>
      </w:r>
    </w:p>
    <w:p w:rsidR="002314E4" w:rsidRDefault="002314E4" w:rsidP="002314E4">
      <w:pPr>
        <w:rPr>
          <w:lang w:val="en-GB"/>
        </w:rPr>
      </w:pPr>
      <w:r>
        <w:rPr>
          <w:lang w:val="en-GB"/>
        </w:rPr>
        <w:t>It is anticipated that into the future grantees will have systems and processes in place to allow them to meet their data collection and reporting obligations outlined in their grant agreement.</w:t>
      </w:r>
    </w:p>
    <w:p w:rsidR="002314E4" w:rsidRDefault="002314E4" w:rsidP="002314E4">
      <w:r>
        <w:t xml:space="preserve">Performance information (e.g. client characteristics and service delivery information) will be required to be collected by service providers at the client level and if applicable, entered directly into the department’s chosen performance reporting solution. An example of one of the possible reporting solution options is the Data </w:t>
      </w:r>
      <w:proofErr w:type="gramStart"/>
      <w:r>
        <w:t>Exchange,</w:t>
      </w:r>
      <w:proofErr w:type="gramEnd"/>
      <w:r>
        <w:t xml:space="preserve"> however other reporting options may be determined to be applicable for this purpose. Example protocol information on t</w:t>
      </w:r>
      <w:r w:rsidR="00CA51D7">
        <w:t>he Data Exchange can be found on the</w:t>
      </w:r>
      <w:r>
        <w:t xml:space="preserve"> </w:t>
      </w:r>
      <w:hyperlink r:id="rId32" w:history="1">
        <w:r w:rsidR="00CA51D7">
          <w:rPr>
            <w:rStyle w:val="Hyperlink"/>
            <w:lang w:val="en-GB"/>
          </w:rPr>
          <w:t>Department of Social Services website</w:t>
        </w:r>
      </w:hyperlink>
      <w:r w:rsidR="00CA51D7">
        <w:rPr>
          <w:rStyle w:val="Hyperlink"/>
          <w:lang w:val="en-GB"/>
        </w:rPr>
        <w:t>.</w:t>
      </w:r>
    </w:p>
    <w:p w:rsidR="00340616" w:rsidRPr="00B72EE8" w:rsidRDefault="00340616" w:rsidP="00892C8B">
      <w:pPr>
        <w:pStyle w:val="Heading2Numbered"/>
      </w:pPr>
      <w:bookmarkStart w:id="131" w:name="_Toc528913528"/>
      <w:r>
        <w:t>E</w:t>
      </w:r>
      <w:r w:rsidRPr="00B72EE8">
        <w:t>valuation</w:t>
      </w:r>
      <w:bookmarkEnd w:id="129"/>
      <w:bookmarkEnd w:id="130"/>
      <w:bookmarkEnd w:id="131"/>
    </w:p>
    <w:p w:rsidR="003C6014" w:rsidRDefault="00F34F90" w:rsidP="00C13A7A">
      <w:r>
        <w:t xml:space="preserve">The </w:t>
      </w:r>
      <w:r w:rsidR="00726DB3">
        <w:t>DVA will</w:t>
      </w:r>
      <w:r w:rsidR="00340616" w:rsidRPr="00284C65">
        <w:t xml:space="preserve"> evaluate the </w:t>
      </w:r>
      <w:r w:rsidR="00726DB3">
        <w:t>MCG</w:t>
      </w:r>
      <w:r w:rsidR="00284C65" w:rsidRPr="00284C65">
        <w:t xml:space="preserve"> Program</w:t>
      </w:r>
      <w:r w:rsidR="00340616" w:rsidRPr="00284C65">
        <w:t xml:space="preserve"> to </w:t>
      </w:r>
      <w:r w:rsidR="00340616">
        <w:t xml:space="preserve">measure how well </w:t>
      </w:r>
      <w:r w:rsidR="00340616" w:rsidRPr="00B72EE8">
        <w:t xml:space="preserve">the outcomes and objectives have been achieved. </w:t>
      </w:r>
      <w:r w:rsidR="00340616">
        <w:t xml:space="preserve">Your grant agreement </w:t>
      </w:r>
      <w:r w:rsidR="00340616" w:rsidRPr="00B72EE8">
        <w:t>require</w:t>
      </w:r>
      <w:r w:rsidR="00340616">
        <w:t>s</w:t>
      </w:r>
      <w:r w:rsidR="00340616" w:rsidRPr="00B72EE8">
        <w:t xml:space="preserve"> </w:t>
      </w:r>
      <w:r w:rsidR="00340616">
        <w:t>you</w:t>
      </w:r>
      <w:r w:rsidR="00340616" w:rsidRPr="00B72EE8">
        <w:t xml:space="preserve"> to provide information to </w:t>
      </w:r>
      <w:r w:rsidR="00340616">
        <w:t>help with</w:t>
      </w:r>
      <w:r w:rsidR="00340616" w:rsidRPr="00B72EE8">
        <w:t xml:space="preserve"> this evaluation.</w:t>
      </w:r>
    </w:p>
    <w:p w:rsidR="00340616" w:rsidRPr="00472F8F" w:rsidRDefault="00340616" w:rsidP="00472F8F">
      <w:pPr>
        <w:pStyle w:val="Heading2Numbered"/>
      </w:pPr>
      <w:bookmarkStart w:id="132" w:name="_Toc467773989"/>
      <w:bookmarkStart w:id="133" w:name="_Toc528913529"/>
      <w:r w:rsidRPr="00472F8F">
        <w:t>Acknowledgement</w:t>
      </w:r>
      <w:bookmarkEnd w:id="132"/>
      <w:bookmarkEnd w:id="133"/>
    </w:p>
    <w:p w:rsidR="00C13A7A" w:rsidRPr="008B782D" w:rsidRDefault="00C13A7A" w:rsidP="00C13A7A">
      <w:r>
        <w:t>If you make a public statement about a project funded under the Program, we require you to acknowledge the grant by using the following:</w:t>
      </w:r>
    </w:p>
    <w:p w:rsidR="00EA75C1" w:rsidRDefault="00C13A7A" w:rsidP="00726DB3">
      <w:pPr>
        <w:spacing w:after="0"/>
        <w:rPr>
          <w:rFonts w:cstheme="minorHAnsi"/>
        </w:rPr>
      </w:pPr>
      <w:r>
        <w:t xml:space="preserve"> </w:t>
      </w:r>
      <w:r w:rsidR="00340616">
        <w:t>‘</w:t>
      </w:r>
      <w:r w:rsidR="00340616" w:rsidRPr="008B782D">
        <w:t>This activity received grant funding from the Australian Government.</w:t>
      </w:r>
      <w:r w:rsidR="00340616">
        <w:t>’</w:t>
      </w:r>
      <w:bookmarkStart w:id="134" w:name="_Toc467773990"/>
      <w:bookmarkStart w:id="135" w:name="_Toc421777631"/>
    </w:p>
    <w:p w:rsidR="00726DB3" w:rsidRPr="00D3569B" w:rsidRDefault="00726DB3" w:rsidP="00726DB3">
      <w:pPr>
        <w:rPr>
          <w:rFonts w:cstheme="minorHAnsi"/>
        </w:rPr>
      </w:pPr>
      <w:r>
        <w:t>Successful applicants will appropriately acknowledge the Australian Government’s financial contribution to the project or activity, e.g. through recognition of the grant by a statement placed on the successful applicant’s website or in its newsletter. Prior written approval must be obtained before using the Commonwealth’s Coat of Arms, DVA branding or trademarks.</w:t>
      </w:r>
    </w:p>
    <w:p w:rsidR="00340616" w:rsidRPr="00B72EE8" w:rsidRDefault="00340616" w:rsidP="0054078D">
      <w:pPr>
        <w:pStyle w:val="Heading1Numbered"/>
      </w:pPr>
      <w:bookmarkStart w:id="136" w:name="_Toc528913530"/>
      <w:r w:rsidRPr="00B72EE8">
        <w:t>Probity</w:t>
      </w:r>
      <w:bookmarkEnd w:id="134"/>
      <w:bookmarkEnd w:id="136"/>
      <w:r w:rsidRPr="00B72EE8">
        <w:t xml:space="preserve"> </w:t>
      </w:r>
      <w:bookmarkEnd w:id="135"/>
    </w:p>
    <w:p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hyperlink r:id="rId33" w:history="1">
        <w:r w:rsidR="00BC69BF">
          <w:rPr>
            <w:rStyle w:val="Hyperlink"/>
            <w:rFonts w:cstheme="minorBidi"/>
          </w:rPr>
          <w:t>Commonwealth Grants Rules and Guidelines (CGRGs)</w:t>
        </w:r>
      </w:hyperlink>
      <w:r w:rsidRPr="00726710">
        <w:t>.</w:t>
      </w:r>
    </w:p>
    <w:p w:rsidR="00E7733D" w:rsidRPr="00B72EE8" w:rsidRDefault="00340616" w:rsidP="00340616">
      <w:r w:rsidRPr="00726710">
        <w:rPr>
          <w:b/>
        </w:rPr>
        <w:t>Note:</w:t>
      </w:r>
      <w:r w:rsidRPr="00726710">
        <w:t xml:space="preserve"> These guidelines may be changed from time-to-time by</w:t>
      </w:r>
      <w:r w:rsidR="00C13A7A">
        <w:rPr>
          <w:b/>
          <w:color w:val="745B00" w:themeColor="accent3" w:themeShade="80"/>
        </w:rPr>
        <w:t xml:space="preserve"> </w:t>
      </w:r>
      <w:r w:rsidR="00C13A7A" w:rsidRPr="00C13A7A">
        <w:t>DVA.</w:t>
      </w:r>
      <w:r w:rsidR="00C13A7A" w:rsidRPr="00C13A7A">
        <w:rPr>
          <w:b/>
        </w:rPr>
        <w:t xml:space="preserve"> </w:t>
      </w:r>
      <w:r w:rsidRPr="00726710">
        <w:t xml:space="preserve">When this happens the revised guidelines will be published on </w:t>
      </w:r>
      <w:hyperlink r:id="rId34" w:history="1">
        <w:proofErr w:type="spellStart"/>
        <w:r w:rsidR="00DD52C8" w:rsidRPr="00DD52C8">
          <w:rPr>
            <w:rStyle w:val="Hyperlink"/>
            <w:rFonts w:cstheme="minorBidi"/>
          </w:rPr>
          <w:t>GrantConnect</w:t>
        </w:r>
        <w:proofErr w:type="spellEnd"/>
      </w:hyperlink>
      <w:r w:rsidR="0069141B">
        <w:rPr>
          <w:rStyle w:val="Hyperlink"/>
          <w:rFonts w:cstheme="minorBidi"/>
        </w:rPr>
        <w:t xml:space="preserve"> </w:t>
      </w:r>
      <w:r w:rsidR="0069141B" w:rsidRPr="00F12854">
        <w:rPr>
          <w:rStyle w:val="Hyperlink"/>
          <w:rFonts w:cstheme="minorBidi"/>
          <w:u w:val="none"/>
        </w:rPr>
        <w:t xml:space="preserve">and </w:t>
      </w:r>
      <w:r w:rsidR="0095419B" w:rsidRPr="00F12854">
        <w:rPr>
          <w:rStyle w:val="Hyperlink"/>
          <w:rFonts w:cstheme="minorBidi"/>
          <w:u w:val="none"/>
        </w:rPr>
        <w:t xml:space="preserve">the </w:t>
      </w:r>
      <w:hyperlink r:id="rId35" w:history="1">
        <w:r w:rsidR="0069141B" w:rsidRPr="00181073">
          <w:rPr>
            <w:rStyle w:val="Hyperlink"/>
            <w:rFonts w:cstheme="minorBidi"/>
          </w:rPr>
          <w:t>Community Grants Hub</w:t>
        </w:r>
      </w:hyperlink>
      <w:r w:rsidR="0069141B">
        <w:rPr>
          <w:rStyle w:val="Hyperlink"/>
          <w:rFonts w:cstheme="minorBidi"/>
          <w:u w:val="none"/>
        </w:rPr>
        <w:t xml:space="preserve"> websites</w:t>
      </w:r>
      <w:r w:rsidR="0069141B">
        <w:t>.</w:t>
      </w:r>
    </w:p>
    <w:p w:rsidR="00340616" w:rsidRPr="0054078D" w:rsidRDefault="00340616" w:rsidP="00892C8B">
      <w:pPr>
        <w:pStyle w:val="Heading2Numbered"/>
        <w:ind w:left="709" w:hanging="709"/>
      </w:pPr>
      <w:bookmarkStart w:id="137" w:name="_Toc414983585"/>
      <w:bookmarkStart w:id="138" w:name="_Toc414984002"/>
      <w:bookmarkStart w:id="139" w:name="_Toc414984762"/>
      <w:bookmarkStart w:id="140" w:name="_Toc414984856"/>
      <w:bookmarkStart w:id="141" w:name="_Toc414984960"/>
      <w:bookmarkStart w:id="142" w:name="_Toc414985063"/>
      <w:bookmarkStart w:id="143" w:name="_Toc414985166"/>
      <w:bookmarkStart w:id="144" w:name="_Toc414985268"/>
      <w:bookmarkStart w:id="145" w:name="_Toc421777632"/>
      <w:bookmarkStart w:id="146" w:name="_Toc467773991"/>
      <w:bookmarkStart w:id="147" w:name="_Toc528913531"/>
      <w:bookmarkEnd w:id="137"/>
      <w:bookmarkEnd w:id="138"/>
      <w:bookmarkEnd w:id="139"/>
      <w:bookmarkEnd w:id="140"/>
      <w:bookmarkEnd w:id="141"/>
      <w:bookmarkEnd w:id="142"/>
      <w:bookmarkEnd w:id="143"/>
      <w:bookmarkEnd w:id="144"/>
      <w:r w:rsidRPr="0054078D">
        <w:lastRenderedPageBreak/>
        <w:t>Complaints process</w:t>
      </w:r>
      <w:bookmarkEnd w:id="145"/>
      <w:bookmarkEnd w:id="146"/>
      <w:bookmarkEnd w:id="147"/>
    </w:p>
    <w:p w:rsidR="0069141B" w:rsidRPr="00B136A1" w:rsidRDefault="0069141B" w:rsidP="0069141B">
      <w:pPr>
        <w:rPr>
          <w:b/>
        </w:rPr>
      </w:pPr>
      <w:bookmarkStart w:id="148" w:name="_Toc421777633"/>
      <w:bookmarkStart w:id="149" w:name="_Toc467773992"/>
      <w:r w:rsidRPr="00B136A1">
        <w:rPr>
          <w:b/>
        </w:rPr>
        <w:t>Complaints about the Program</w:t>
      </w:r>
    </w:p>
    <w:p w:rsidR="009B4D33" w:rsidRDefault="009B4D33" w:rsidP="009B4D33">
      <w:r>
        <w:t>The</w:t>
      </w:r>
      <w:r w:rsidRPr="00726710">
        <w:rPr>
          <w:b/>
          <w:color w:val="745B00" w:themeColor="accent3" w:themeShade="80"/>
        </w:rPr>
        <w:t xml:space="preserve"> </w:t>
      </w:r>
      <w:hyperlink r:id="rId36" w:history="1">
        <w:r>
          <w:rPr>
            <w:rStyle w:val="Hyperlink"/>
            <w:rFonts w:cstheme="minorBidi"/>
          </w:rPr>
          <w:t>Department of Veterans’ Affairs Feedback Management Policy</w:t>
        </w:r>
      </w:hyperlink>
      <w:r w:rsidRPr="00AB6D9E">
        <w:t xml:space="preserve"> </w:t>
      </w:r>
      <w:r w:rsidRPr="00B72EE8">
        <w:t>appl</w:t>
      </w:r>
      <w:r>
        <w:t xml:space="preserve">ies </w:t>
      </w:r>
      <w:r w:rsidRPr="00B72EE8">
        <w:t xml:space="preserve">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rsidR="000A61F6" w:rsidRPr="00CA51D7" w:rsidRDefault="009B4D33" w:rsidP="0069141B">
      <w:r>
        <w:t xml:space="preserve">Any questions you have about grant decisions for the Program should be sent to </w:t>
      </w:r>
      <w:hyperlink r:id="rId37" w:history="1">
        <w:r w:rsidRPr="00F54D32">
          <w:rPr>
            <w:rStyle w:val="Hyperlink"/>
            <w:rFonts w:cstheme="minorHAnsi"/>
          </w:rPr>
          <w:t>DVA.Grants.Processing.Team@dva.gov.au</w:t>
        </w:r>
      </w:hyperlink>
      <w:r>
        <w:rPr>
          <w:rFonts w:cstheme="minorHAnsi"/>
        </w:rPr>
        <w:t xml:space="preserve"> </w:t>
      </w:r>
    </w:p>
    <w:p w:rsidR="0069141B" w:rsidRDefault="0069141B" w:rsidP="0069141B">
      <w:pPr>
        <w:rPr>
          <w:b/>
        </w:rPr>
      </w:pPr>
      <w:r w:rsidRPr="00A916BA">
        <w:rPr>
          <w:b/>
        </w:rPr>
        <w:t>Complaints about the Process</w:t>
      </w:r>
    </w:p>
    <w:p w:rsidR="0069141B" w:rsidRPr="00A916BA" w:rsidRDefault="0069141B" w:rsidP="0069141B">
      <w:r w:rsidRPr="00A916BA">
        <w:t xml:space="preserve">Applicants can contact the complaints service with complaints about Hub’s service(s) or the application process. </w:t>
      </w:r>
    </w:p>
    <w:p w:rsidR="0069141B" w:rsidRDefault="0069141B" w:rsidP="0069141B">
      <w:r w:rsidRPr="00A916BA">
        <w:t xml:space="preserve">Details of what constitutes an eligible complaint can be provided upon request by the Hub. Applicants can lodge complaints using the </w:t>
      </w:r>
      <w:hyperlink r:id="rId38" w:history="1">
        <w:r w:rsidRPr="0011101F">
          <w:rPr>
            <w:rStyle w:val="Hyperlink"/>
            <w:rFonts w:cstheme="minorBidi"/>
          </w:rPr>
          <w:t>complaints form</w:t>
        </w:r>
      </w:hyperlink>
      <w:r w:rsidRPr="00A916BA">
        <w:t xml:space="preserve"> on the Department</w:t>
      </w:r>
      <w:r>
        <w:t>’</w:t>
      </w:r>
      <w:r w:rsidRPr="00A916BA">
        <w:t>s webs</w:t>
      </w:r>
      <w:r>
        <w:t>ite or by phone or mail.</w:t>
      </w:r>
    </w:p>
    <w:p w:rsidR="0069141B" w:rsidRDefault="0069141B" w:rsidP="0069141B">
      <w:pPr>
        <w:spacing w:before="0" w:line="240" w:lineRule="auto"/>
        <w:ind w:left="1276" w:hanging="1276"/>
        <w:rPr>
          <w:rFonts w:ascii="Arial" w:eastAsia="Arial" w:hAnsi="Arial" w:cs="Times New Roman"/>
        </w:rPr>
      </w:pPr>
    </w:p>
    <w:p w:rsidR="0069141B" w:rsidRPr="00302DEE" w:rsidRDefault="0069141B" w:rsidP="0069141B">
      <w:pPr>
        <w:spacing w:before="0" w:line="240" w:lineRule="auto"/>
        <w:ind w:left="1276" w:hanging="1276"/>
        <w:rPr>
          <w:rFonts w:ascii="Arial" w:eastAsia="Arial" w:hAnsi="Arial" w:cs="Times New Roman"/>
        </w:rPr>
      </w:pPr>
      <w:r w:rsidRPr="00302DEE">
        <w:rPr>
          <w:rFonts w:ascii="Arial" w:eastAsia="Arial" w:hAnsi="Arial" w:cs="Times New Roman"/>
        </w:rPr>
        <w:t>Phone:</w:t>
      </w:r>
      <w:r w:rsidRPr="00302DEE">
        <w:rPr>
          <w:rFonts w:ascii="Arial" w:eastAsia="Arial" w:hAnsi="Arial" w:cs="Times New Roman"/>
        </w:rPr>
        <w:tab/>
        <w:t xml:space="preserve">1800 634 035 </w:t>
      </w:r>
    </w:p>
    <w:p w:rsidR="0069141B" w:rsidRPr="00302DEE" w:rsidRDefault="0069141B" w:rsidP="0069141B">
      <w:pPr>
        <w:spacing w:before="0" w:line="240" w:lineRule="auto"/>
        <w:ind w:left="1276" w:hanging="1276"/>
        <w:rPr>
          <w:rFonts w:ascii="Arial" w:eastAsia="Arial" w:hAnsi="Arial" w:cs="Times New Roman"/>
        </w:rPr>
      </w:pPr>
      <w:r w:rsidRPr="00302DEE">
        <w:rPr>
          <w:rFonts w:ascii="Arial" w:eastAsia="Arial" w:hAnsi="Arial" w:cs="Times New Roman"/>
        </w:rPr>
        <w:t>Mail:</w:t>
      </w:r>
      <w:r w:rsidRPr="00302DEE">
        <w:rPr>
          <w:rFonts w:ascii="Arial" w:eastAsia="Arial" w:hAnsi="Arial" w:cs="Times New Roman"/>
        </w:rPr>
        <w:tab/>
        <w:t>Complaints</w:t>
      </w:r>
    </w:p>
    <w:p w:rsidR="0069141B" w:rsidRPr="00302DEE" w:rsidRDefault="0069141B" w:rsidP="0069141B">
      <w:pPr>
        <w:spacing w:before="0" w:line="240" w:lineRule="auto"/>
        <w:ind w:left="1276"/>
        <w:rPr>
          <w:rFonts w:ascii="Arial" w:eastAsia="Arial" w:hAnsi="Arial" w:cs="Times New Roman"/>
        </w:rPr>
      </w:pPr>
      <w:r w:rsidRPr="00302DEE">
        <w:rPr>
          <w:rFonts w:ascii="Arial" w:eastAsia="Arial" w:hAnsi="Arial" w:cs="Times New Roman"/>
        </w:rPr>
        <w:t>GPO Box 9</w:t>
      </w:r>
      <w:r>
        <w:rPr>
          <w:rFonts w:ascii="Arial" w:eastAsia="Arial" w:hAnsi="Arial" w:cs="Times New Roman"/>
        </w:rPr>
        <w:t>820</w:t>
      </w:r>
    </w:p>
    <w:p w:rsidR="0069141B" w:rsidRPr="00302DEE" w:rsidRDefault="0069141B" w:rsidP="0069141B">
      <w:pPr>
        <w:spacing w:before="0" w:line="240" w:lineRule="auto"/>
        <w:ind w:left="1276"/>
        <w:rPr>
          <w:rFonts w:ascii="Arial" w:eastAsia="Arial" w:hAnsi="Arial" w:cs="Times New Roman"/>
        </w:rPr>
      </w:pPr>
      <w:r w:rsidRPr="00302DEE">
        <w:rPr>
          <w:rFonts w:ascii="Arial" w:eastAsia="Arial" w:hAnsi="Arial" w:cs="Times New Roman"/>
        </w:rPr>
        <w:t>Canberra ACT 2601</w:t>
      </w:r>
    </w:p>
    <w:p w:rsidR="0069141B" w:rsidRPr="00A916BA" w:rsidRDefault="0069141B" w:rsidP="0069141B">
      <w:pPr>
        <w:rPr>
          <w:b/>
        </w:rPr>
      </w:pPr>
      <w:r>
        <w:rPr>
          <w:b/>
        </w:rPr>
        <w:t>Complaints to the Ombudsman</w:t>
      </w:r>
    </w:p>
    <w:p w:rsidR="0069141B" w:rsidRDefault="0069141B" w:rsidP="0069141B">
      <w:r>
        <w:t xml:space="preserve">If you </w:t>
      </w:r>
      <w:r w:rsidR="00EF6C6F">
        <w:t xml:space="preserve">do not agree with the way </w:t>
      </w:r>
      <w:r w:rsidR="00F34F90">
        <w:t>DVA</w:t>
      </w:r>
      <w:r w:rsidR="00EF6C6F">
        <w:t xml:space="preserve"> or the Hub</w:t>
      </w:r>
      <w:r>
        <w:t xml:space="preserve"> has handled your complaint, you may complain to the Commonwealth Ombudsman. The Ombudsman will not usually look into a complaint unless the matter has firs</w:t>
      </w:r>
      <w:r w:rsidR="002E00E2">
        <w:t>t been raised directly with DVA or the Hub.</w:t>
      </w:r>
    </w:p>
    <w:p w:rsidR="0069141B" w:rsidRDefault="0069141B" w:rsidP="0069141B">
      <w:pPr>
        <w:ind w:left="5040" w:hanging="5040"/>
      </w:pPr>
      <w:r>
        <w:t xml:space="preserve">The Commonwealth Ombudsman can be contacted on: </w:t>
      </w:r>
    </w:p>
    <w:p w:rsidR="0069141B" w:rsidRDefault="0069141B" w:rsidP="0069141B">
      <w:pPr>
        <w:ind w:left="1440"/>
      </w:pPr>
      <w:r>
        <w:t>Phone (Toll free): 1300 362 072</w:t>
      </w:r>
      <w:r>
        <w:br/>
        <w:t xml:space="preserve">Email: </w:t>
      </w:r>
      <w:hyperlink r:id="rId39" w:history="1">
        <w:r>
          <w:rPr>
            <w:rStyle w:val="Hyperlink"/>
          </w:rPr>
          <w:t>ombudsman@ombudsman.gov.au</w:t>
        </w:r>
      </w:hyperlink>
      <w:r>
        <w:t xml:space="preserve"> </w:t>
      </w:r>
      <w:r>
        <w:br/>
        <w:t xml:space="preserve">Website: </w:t>
      </w:r>
      <w:hyperlink r:id="rId40" w:history="1">
        <w:r w:rsidR="00CA51D7">
          <w:rPr>
            <w:rStyle w:val="Hyperlink"/>
          </w:rPr>
          <w:t>Commonwealth Ombudsman</w:t>
        </w:r>
      </w:hyperlink>
    </w:p>
    <w:p w:rsidR="00340616" w:rsidRPr="00B72EE8" w:rsidRDefault="00340616" w:rsidP="00892C8B">
      <w:pPr>
        <w:pStyle w:val="Heading2Numbered"/>
        <w:ind w:left="709" w:hanging="709"/>
      </w:pPr>
      <w:bookmarkStart w:id="150" w:name="_Toc528913532"/>
      <w:r w:rsidRPr="00B72EE8">
        <w:t>Conflict of interest</w:t>
      </w:r>
      <w:bookmarkEnd w:id="148"/>
      <w:bookmarkEnd w:id="149"/>
      <w:bookmarkEnd w:id="150"/>
    </w:p>
    <w:p w:rsidR="00340616" w:rsidRPr="00B72EE8" w:rsidRDefault="00340616" w:rsidP="00340616">
      <w:r>
        <w:t xml:space="preserve">Any </w:t>
      </w:r>
      <w:r w:rsidRPr="00726710">
        <w:t xml:space="preserve">conflicts of interest could affect the performance of the grant. There may be a </w:t>
      </w:r>
      <w:hyperlink r:id="rId41"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C13A7A">
        <w:t>DVA</w:t>
      </w:r>
      <w:r w:rsidR="00DB0937" w:rsidRPr="00C13A7A">
        <w:t xml:space="preserve"> </w:t>
      </w:r>
      <w:r w:rsidR="00533BCE" w:rsidRPr="00C13A7A">
        <w:t>and the Hub</w:t>
      </w:r>
      <w:r w:rsidR="00533BCE">
        <w:rPr>
          <w:b/>
          <w:color w:val="745B00" w:themeColor="accent3" w:themeShade="80"/>
        </w:rPr>
        <w:t xml:space="preserve">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340616" w:rsidRPr="00B72EE8" w:rsidRDefault="00340616" w:rsidP="00726710">
      <w:pPr>
        <w:pStyle w:val="Bullet1"/>
      </w:pPr>
      <w:r w:rsidRPr="00B72EE8">
        <w:t xml:space="preserve">has </w:t>
      </w:r>
      <w:r>
        <w:t>a relationship with an organisation</w:t>
      </w:r>
      <w:r w:rsidRPr="00B72EE8">
        <w:t xml:space="preserve"> relationship with, or in, an organisation, which is likely to interfere with or restrict the applicants from carrying out the proposed acti</w:t>
      </w:r>
      <w:r>
        <w:t>vities fairly and independently</w:t>
      </w:r>
      <w:r w:rsidRPr="00B72EE8">
        <w:t xml:space="preserve"> or</w:t>
      </w:r>
    </w:p>
    <w:p w:rsidR="00340616" w:rsidRPr="00B72EE8" w:rsidRDefault="00340616" w:rsidP="00726710">
      <w:pPr>
        <w:pStyle w:val="Bullet1"/>
      </w:pPr>
      <w:proofErr w:type="gramStart"/>
      <w:r w:rsidRPr="00B72EE8">
        <w:lastRenderedPageBreak/>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w:t>
      </w:r>
      <w:r w:rsidR="00BE6AB1">
        <w:t>the</w:t>
      </w:r>
      <w:r w:rsidR="00533BCE" w:rsidRPr="00C13A7A">
        <w:rPr>
          <w:b/>
        </w:rPr>
        <w:t xml:space="preserve"> </w:t>
      </w:r>
      <w:r w:rsidR="00533BCE" w:rsidRPr="0069141B">
        <w:t>Hub</w:t>
      </w:r>
      <w:r w:rsidRPr="0069141B">
        <w:t xml:space="preserve"> in </w:t>
      </w:r>
      <w:r w:rsidRPr="00B72EE8">
        <w:t xml:space="preserve">writing immediately. </w:t>
      </w:r>
      <w:r>
        <w:t>Committee members and other officials including the decision maker must also declare any conflicts of interest.</w:t>
      </w:r>
    </w:p>
    <w:p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42"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rsidR="00340616" w:rsidRPr="00440282" w:rsidRDefault="00340616" w:rsidP="00892C8B">
      <w:pPr>
        <w:pStyle w:val="Heading2Numbered"/>
        <w:ind w:left="709" w:hanging="709"/>
      </w:pPr>
      <w:bookmarkStart w:id="151" w:name="_Toc421777634"/>
      <w:bookmarkStart w:id="152" w:name="_Toc467773993"/>
      <w:bookmarkStart w:id="153" w:name="_Toc528913533"/>
      <w:r w:rsidRPr="00B72EE8">
        <w:t>Privacy: confidentiality and protection of personal information</w:t>
      </w:r>
      <w:bookmarkEnd w:id="151"/>
      <w:bookmarkEnd w:id="152"/>
      <w:bookmarkEnd w:id="153"/>
    </w:p>
    <w:p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340616" w:rsidRPr="00E86A67" w:rsidRDefault="00340616" w:rsidP="00726710">
      <w:pPr>
        <w:pStyle w:val="Bullet1"/>
      </w:pPr>
      <w:r w:rsidRPr="00E86A67">
        <w:t>what personal information we collect</w:t>
      </w:r>
    </w:p>
    <w:p w:rsidR="00340616" w:rsidRPr="00E86A67" w:rsidRDefault="00340616" w:rsidP="00726710">
      <w:pPr>
        <w:pStyle w:val="Bullet1"/>
      </w:pPr>
      <w:r w:rsidRPr="00E86A67">
        <w:t>why we co</w:t>
      </w:r>
      <w:r>
        <w:t>llect your personal information</w:t>
      </w:r>
    </w:p>
    <w:p w:rsidR="00340616" w:rsidRDefault="00340616" w:rsidP="00726710">
      <w:pPr>
        <w:pStyle w:val="Bullet1"/>
      </w:pPr>
      <w:r w:rsidRPr="00E86A67">
        <w:t>who we gi</w:t>
      </w:r>
      <w:r>
        <w:t>ve your personal information to</w:t>
      </w:r>
    </w:p>
    <w:p w:rsidR="00340616" w:rsidRPr="00E86A67" w:rsidRDefault="00340616" w:rsidP="00340616">
      <w:r w:rsidRPr="00E86A67">
        <w:t xml:space="preserve">You are required, as part of your application, to declare your ability to comply with the </w:t>
      </w:r>
      <w:hyperlink r:id="rId4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rsidR="00726DB3">
        <w:t>grantees</w:t>
      </w:r>
      <w:r w:rsidRPr="00763129">
        <w:t xml:space="preserve"> under the Program in any other Australian Government business or function</w:t>
      </w:r>
      <w:r>
        <w:t xml:space="preserve">. This includes giving </w:t>
      </w:r>
      <w:r w:rsidRPr="00763129">
        <w:t>information to the Australian Taxation Office for compliance purposes.</w:t>
      </w:r>
    </w:p>
    <w:p w:rsidR="00340616" w:rsidRPr="0033741C" w:rsidRDefault="00340616" w:rsidP="00340616">
      <w:pPr>
        <w:rPr>
          <w:lang w:eastAsia="en-AU"/>
        </w:rPr>
      </w:pPr>
      <w:r>
        <w:rPr>
          <w:lang w:eastAsia="en-AU"/>
        </w:rPr>
        <w:t>We may reveal confidential information to</w:t>
      </w:r>
      <w:r w:rsidRPr="0033741C">
        <w:rPr>
          <w:lang w:eastAsia="en-AU"/>
        </w:rPr>
        <w:t>:</w:t>
      </w:r>
    </w:p>
    <w:p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340616" w:rsidRDefault="00340616" w:rsidP="00726710">
      <w:pPr>
        <w:pStyle w:val="Bullet1"/>
      </w:pPr>
      <w:r>
        <w:t>employees and contractors of other Commonwealth agencies for any purposes, including government administration, research or service delivery</w:t>
      </w:r>
    </w:p>
    <w:p w:rsidR="00340616" w:rsidRPr="0033741C" w:rsidRDefault="00340616" w:rsidP="00726710">
      <w:pPr>
        <w:pStyle w:val="Bullet1"/>
      </w:pPr>
      <w:r>
        <w:lastRenderedPageBreak/>
        <w:t>other Commonwealth, State, Territory or local government agencies in program reports and consultations</w:t>
      </w:r>
    </w:p>
    <w:p w:rsidR="00340616" w:rsidRPr="0033741C" w:rsidRDefault="00340616" w:rsidP="00726710">
      <w:pPr>
        <w:pStyle w:val="Bullet1"/>
      </w:pPr>
      <w:r w:rsidRPr="0033741C">
        <w:t>the Auditor-General, Ombudsman or Privacy Commissioner</w:t>
      </w:r>
    </w:p>
    <w:p w:rsidR="00340616" w:rsidRPr="00BA6D16" w:rsidRDefault="00340616" w:rsidP="00726710">
      <w:pPr>
        <w:pStyle w:val="Bullet1"/>
      </w:pPr>
      <w:r w:rsidRPr="00BA6D16">
        <w:t>the responsible Minister or Parliamentary Secretary</w:t>
      </w:r>
    </w:p>
    <w:p w:rsidR="00340616" w:rsidRPr="0033741C" w:rsidRDefault="00340616" w:rsidP="00726710">
      <w:pPr>
        <w:pStyle w:val="Bullet1"/>
      </w:pPr>
      <w:r w:rsidRPr="0033741C">
        <w:t xml:space="preserve">a House or a Committee of the </w:t>
      </w:r>
      <w:r>
        <w:t xml:space="preserve">Australian </w:t>
      </w:r>
      <w:r w:rsidRPr="0033741C">
        <w:t>Parliament</w:t>
      </w:r>
    </w:p>
    <w:p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rsidR="00340616" w:rsidRPr="00726710" w:rsidRDefault="00340616" w:rsidP="00726710">
      <w:pPr>
        <w:pStyle w:val="Bullet1"/>
        <w:rPr>
          <w:i/>
        </w:rPr>
      </w:pPr>
      <w:r w:rsidRPr="00726710">
        <w:rPr>
          <w:i/>
        </w:rPr>
        <w:t>Public Service Act 1999</w:t>
      </w:r>
    </w:p>
    <w:p w:rsidR="00340616" w:rsidRPr="00726710" w:rsidRDefault="00340616" w:rsidP="00726710">
      <w:pPr>
        <w:pStyle w:val="Bullet1"/>
        <w:rPr>
          <w:i/>
        </w:rPr>
      </w:pPr>
      <w:r w:rsidRPr="00726710">
        <w:rPr>
          <w:i/>
        </w:rPr>
        <w:t>Public Service Regulations 1999</w:t>
      </w:r>
    </w:p>
    <w:p w:rsidR="00340616" w:rsidRPr="00726710" w:rsidRDefault="00340616" w:rsidP="00726710">
      <w:pPr>
        <w:pStyle w:val="Bullet1"/>
        <w:rPr>
          <w:i/>
        </w:rPr>
      </w:pPr>
      <w:r w:rsidRPr="00726710">
        <w:rPr>
          <w:i/>
        </w:rPr>
        <w:t>Public Governance, Performance and Accountability Act</w:t>
      </w:r>
    </w:p>
    <w:p w:rsidR="00340616" w:rsidRPr="00726710" w:rsidRDefault="00340616" w:rsidP="00726710">
      <w:pPr>
        <w:pStyle w:val="Bullet1"/>
        <w:rPr>
          <w:i/>
        </w:rPr>
      </w:pPr>
      <w:r w:rsidRPr="00726710">
        <w:rPr>
          <w:i/>
        </w:rPr>
        <w:t xml:space="preserve">Privacy Act 1988 </w:t>
      </w:r>
    </w:p>
    <w:p w:rsidR="00340616" w:rsidRPr="00726710" w:rsidRDefault="00340616" w:rsidP="00726710">
      <w:pPr>
        <w:pStyle w:val="Bullet1"/>
        <w:rPr>
          <w:i/>
        </w:rPr>
      </w:pPr>
      <w:r w:rsidRPr="00726710">
        <w:rPr>
          <w:i/>
        </w:rPr>
        <w:t>Crimes Act 1914</w:t>
      </w:r>
    </w:p>
    <w:p w:rsidR="00340616" w:rsidRPr="00726710" w:rsidRDefault="00340616" w:rsidP="00726710">
      <w:pPr>
        <w:pStyle w:val="Bullet1"/>
        <w:rPr>
          <w:i/>
        </w:rPr>
      </w:pPr>
      <w:r w:rsidRPr="00726710">
        <w:rPr>
          <w:i/>
        </w:rPr>
        <w:t>Criminal Code Act 1995</w:t>
      </w:r>
    </w:p>
    <w:p w:rsidR="00340616" w:rsidRPr="00AB0818" w:rsidRDefault="00340616" w:rsidP="00340616">
      <w:pPr>
        <w:keepNext/>
      </w:pPr>
      <w:r w:rsidRPr="00AB0818">
        <w:t>We’ll treat the information you give us as sensitive and therefore confidential if it meets all of the four conditions below:</w:t>
      </w:r>
    </w:p>
    <w:p w:rsidR="00340616" w:rsidRPr="00AB0818" w:rsidRDefault="00340616" w:rsidP="00E7733D">
      <w:pPr>
        <w:pStyle w:val="NumberedList1"/>
        <w:numPr>
          <w:ilvl w:val="0"/>
          <w:numId w:val="14"/>
        </w:numPr>
        <w:spacing w:before="120" w:after="0"/>
      </w:pPr>
      <w:r>
        <w:t>y</w:t>
      </w:r>
      <w:r w:rsidRPr="00AB0818">
        <w:t>ou clearly identify the information as confidential and explain why we should treat it as conf</w:t>
      </w:r>
      <w:r>
        <w:t>idential</w:t>
      </w:r>
    </w:p>
    <w:p w:rsidR="00340616" w:rsidRPr="00AB0818" w:rsidRDefault="00340616" w:rsidP="00E7733D">
      <w:pPr>
        <w:pStyle w:val="NumberedList1"/>
        <w:spacing w:before="120" w:after="0"/>
      </w:pPr>
      <w:r>
        <w:t>t</w:t>
      </w:r>
      <w:r w:rsidRPr="00AB0818">
        <w:t>he inform</w:t>
      </w:r>
      <w:r>
        <w:t>ation is commercially sensitive</w:t>
      </w:r>
    </w:p>
    <w:p w:rsidR="00340616" w:rsidRPr="00AB0818" w:rsidRDefault="00340616" w:rsidP="00E7733D">
      <w:pPr>
        <w:pStyle w:val="NumberedList1"/>
        <w:spacing w:before="120" w:after="0"/>
      </w:pPr>
      <w:r>
        <w:t>r</w:t>
      </w:r>
      <w:r w:rsidRPr="00AB0818">
        <w:t>evealing the information would cause unreasona</w:t>
      </w:r>
      <w:r>
        <w:t>ble harm to you or someone else</w:t>
      </w:r>
    </w:p>
    <w:p w:rsidR="00340616" w:rsidRDefault="00340616" w:rsidP="00E7733D">
      <w:pPr>
        <w:pStyle w:val="NumberedList1"/>
        <w:spacing w:before="120" w:after="0"/>
      </w:pPr>
      <w:r>
        <w:t>y</w:t>
      </w:r>
      <w:r w:rsidRPr="00AB0818">
        <w:t>ou provide the information with an understanding</w:t>
      </w:r>
      <w:r w:rsidR="00574B5D">
        <w:t xml:space="preserve"> that it will stay confidential</w:t>
      </w:r>
    </w:p>
    <w:p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340616" w:rsidRPr="00B72EE8" w:rsidRDefault="00340616" w:rsidP="00892C8B">
      <w:pPr>
        <w:pStyle w:val="Heading2Numbered"/>
        <w:ind w:left="709" w:hanging="709"/>
      </w:pPr>
      <w:bookmarkStart w:id="154" w:name="_Toc421777635"/>
      <w:bookmarkStart w:id="155" w:name="_Toc467773994"/>
      <w:bookmarkStart w:id="156" w:name="_Toc528913534"/>
      <w:r w:rsidRPr="00B72EE8">
        <w:t>Freedom of information</w:t>
      </w:r>
      <w:bookmarkEnd w:id="154"/>
      <w:bookmarkEnd w:id="155"/>
      <w:bookmarkEnd w:id="156"/>
    </w:p>
    <w:p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340616" w:rsidRPr="00B72EE8" w:rsidRDefault="00340616" w:rsidP="00340616">
      <w:r w:rsidRPr="00B72EE8">
        <w:t>All F</w:t>
      </w:r>
      <w:r>
        <w:t xml:space="preserve">reedom of Information </w:t>
      </w:r>
      <w:r w:rsidRPr="00B72EE8">
        <w:t>requests must be referred to the Freedom of Information Coordinator in writing.</w:t>
      </w:r>
    </w:p>
    <w:p w:rsidR="00340616" w:rsidRPr="00B72EE8" w:rsidRDefault="00340616" w:rsidP="00340616">
      <w:pPr>
        <w:tabs>
          <w:tab w:val="left" w:pos="1418"/>
        </w:tabs>
        <w:ind w:left="1418" w:hanging="1418"/>
        <w:contextualSpacing/>
      </w:pPr>
      <w:r w:rsidRPr="00B72EE8">
        <w:t>By mail:</w:t>
      </w:r>
      <w:r w:rsidRPr="00B72EE8">
        <w:tab/>
        <w:t>Freedom of Information Coordinator</w:t>
      </w:r>
    </w:p>
    <w:p w:rsidR="00340616" w:rsidRPr="00A9798A" w:rsidRDefault="00533BCE" w:rsidP="00A9798A">
      <w:pPr>
        <w:tabs>
          <w:tab w:val="left" w:pos="1418"/>
        </w:tabs>
        <w:spacing w:before="0" w:after="0" w:line="240" w:lineRule="auto"/>
        <w:ind w:left="2836" w:hanging="1418"/>
      </w:pPr>
      <w:r w:rsidRPr="00A9798A">
        <w:t>The Department of Social Services</w:t>
      </w:r>
    </w:p>
    <w:p w:rsidR="00533BCE" w:rsidRPr="00A9798A" w:rsidRDefault="00533BCE" w:rsidP="00A9798A">
      <w:pPr>
        <w:tabs>
          <w:tab w:val="left" w:pos="1418"/>
        </w:tabs>
        <w:spacing w:before="0" w:after="0" w:line="240" w:lineRule="auto"/>
        <w:ind w:left="2836" w:hanging="1418"/>
      </w:pPr>
      <w:r w:rsidRPr="00A9798A">
        <w:lastRenderedPageBreak/>
        <w:t>Public Law Branch</w:t>
      </w:r>
    </w:p>
    <w:p w:rsidR="00533BCE" w:rsidRPr="00A9798A" w:rsidRDefault="00533BCE" w:rsidP="00A9798A">
      <w:pPr>
        <w:tabs>
          <w:tab w:val="left" w:pos="1418"/>
        </w:tabs>
        <w:spacing w:before="0" w:after="0" w:line="240" w:lineRule="auto"/>
        <w:ind w:left="2836" w:hanging="1418"/>
      </w:pPr>
      <w:r w:rsidRPr="00A9798A">
        <w:t>GPO Box 9820</w:t>
      </w:r>
    </w:p>
    <w:p w:rsidR="00533BCE" w:rsidRPr="00A9798A" w:rsidRDefault="00533BCE" w:rsidP="00A9798A">
      <w:pPr>
        <w:tabs>
          <w:tab w:val="left" w:pos="1418"/>
        </w:tabs>
        <w:spacing w:before="0" w:after="0" w:line="240" w:lineRule="auto"/>
        <w:ind w:left="2836" w:hanging="1418"/>
      </w:pPr>
      <w:r w:rsidRPr="00A9798A">
        <w:t>Canberra</w:t>
      </w:r>
      <w:r w:rsidR="00944960">
        <w:t xml:space="preserve"> </w:t>
      </w:r>
      <w:bookmarkStart w:id="157" w:name="_GoBack"/>
      <w:bookmarkEnd w:id="157"/>
      <w:r w:rsidRPr="00A9798A">
        <w:t>ACT</w:t>
      </w:r>
      <w:r w:rsidR="00944960">
        <w:t xml:space="preserve"> </w:t>
      </w:r>
      <w:r w:rsidRPr="00A9798A">
        <w:t>2601</w:t>
      </w:r>
    </w:p>
    <w:p w:rsidR="00340616" w:rsidRDefault="00340616" w:rsidP="00E7733D">
      <w:pPr>
        <w:rPr>
          <w:color w:val="745B00" w:themeColor="accent3" w:themeShade="80"/>
        </w:rPr>
      </w:pPr>
      <w:r w:rsidRPr="00B72EE8">
        <w:t>By email:</w:t>
      </w:r>
      <w:r w:rsidRPr="00B72EE8">
        <w:tab/>
      </w:r>
      <w:hyperlink r:id="rId44" w:history="1">
        <w:r w:rsidR="00533BCE" w:rsidRPr="00367A67">
          <w:rPr>
            <w:rStyle w:val="Hyperlink"/>
            <w:rFonts w:cstheme="minorBidi"/>
          </w:rPr>
          <w:t>foi@dss.gov.au</w:t>
        </w:r>
      </w:hyperlink>
      <w:r w:rsidR="00533BCE" w:rsidRPr="00367A67">
        <w:rPr>
          <w:color w:val="745B00" w:themeColor="accent3" w:themeShade="80"/>
        </w:rPr>
        <w:t xml:space="preserve"> </w:t>
      </w:r>
    </w:p>
    <w:p w:rsidR="008C7F98" w:rsidRDefault="008C7F98">
      <w:pPr>
        <w:suppressAutoHyphens w:val="0"/>
        <w:spacing w:before="0" w:after="120" w:line="440" w:lineRule="atLeast"/>
      </w:pPr>
      <w:r>
        <w:br w:type="page"/>
      </w:r>
    </w:p>
    <w:p w:rsidR="00340616" w:rsidRDefault="00340616" w:rsidP="0054078D">
      <w:pPr>
        <w:pStyle w:val="Heading1Numbered"/>
      </w:pPr>
      <w:bookmarkStart w:id="158" w:name="_Toc467773996"/>
      <w:bookmarkStart w:id="159" w:name="_Toc528913535"/>
      <w:r w:rsidRPr="00B72EE8">
        <w:lastRenderedPageBreak/>
        <w:t>Glossary</w:t>
      </w:r>
      <w:bookmarkEnd w:id="158"/>
      <w:bookmarkEnd w:id="159"/>
    </w:p>
    <w:p w:rsidR="00A275FD" w:rsidRDefault="00A275FD" w:rsidP="00A275FD"/>
    <w:tbl>
      <w:tblPr>
        <w:tblStyle w:val="TableGrid"/>
        <w:tblW w:w="0" w:type="auto"/>
        <w:tblInd w:w="108" w:type="dxa"/>
        <w:tblLook w:val="04A0"/>
      </w:tblPr>
      <w:tblGrid>
        <w:gridCol w:w="2513"/>
        <w:gridCol w:w="6395"/>
      </w:tblGrid>
      <w:tr w:rsidR="00306F1F" w:rsidRPr="001B21A4" w:rsidTr="00367A67">
        <w:trPr>
          <w:tblHeader/>
        </w:trPr>
        <w:tc>
          <w:tcPr>
            <w:tcW w:w="2513" w:type="dxa"/>
          </w:tcPr>
          <w:p w:rsidR="00306F1F" w:rsidRPr="00FF507B" w:rsidRDefault="00A275FD" w:rsidP="00694DF9">
            <w:pPr>
              <w:tabs>
                <w:tab w:val="left" w:pos="2835"/>
              </w:tabs>
              <w:spacing w:after="120"/>
            </w:pPr>
            <w:r w:rsidRPr="00FF507B">
              <w:rPr>
                <w:b/>
              </w:rPr>
              <w:t>Term</w:t>
            </w:r>
          </w:p>
        </w:tc>
        <w:tc>
          <w:tcPr>
            <w:tcW w:w="6395" w:type="dxa"/>
          </w:tcPr>
          <w:p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rsidTr="00367A67">
        <w:tc>
          <w:tcPr>
            <w:tcW w:w="2513" w:type="dxa"/>
          </w:tcPr>
          <w:p w:rsidR="00A275FD" w:rsidRDefault="00A275FD" w:rsidP="00694DF9">
            <w:pPr>
              <w:tabs>
                <w:tab w:val="left" w:pos="2835"/>
              </w:tabs>
              <w:spacing w:after="120"/>
            </w:pPr>
            <w:r w:rsidRPr="001B21A4">
              <w:t>assessment criteria</w:t>
            </w:r>
          </w:p>
        </w:tc>
        <w:tc>
          <w:tcPr>
            <w:tcW w:w="6395" w:type="dxa"/>
          </w:tcPr>
          <w:p w:rsidR="00A275FD" w:rsidRPr="00463AB3" w:rsidRDefault="00A275FD" w:rsidP="00B372C2">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340616" w:rsidRPr="00463AB3" w:rsidTr="00367A67">
        <w:tc>
          <w:tcPr>
            <w:tcW w:w="2513" w:type="dxa"/>
          </w:tcPr>
          <w:p w:rsidR="00340616" w:rsidRPr="00463AB3" w:rsidRDefault="005E0682" w:rsidP="00694DF9">
            <w:pPr>
              <w:tabs>
                <w:tab w:val="left" w:pos="2835"/>
              </w:tabs>
              <w:spacing w:after="120"/>
            </w:pPr>
            <w:r>
              <w:t>c</w:t>
            </w:r>
            <w:r w:rsidR="00340616" w:rsidRPr="00463AB3">
              <w:t>ommencement date</w:t>
            </w:r>
          </w:p>
        </w:tc>
        <w:tc>
          <w:tcPr>
            <w:tcW w:w="6395" w:type="dxa"/>
          </w:tcPr>
          <w:p w:rsidR="00340616" w:rsidRPr="00463AB3" w:rsidRDefault="00340616" w:rsidP="00694DF9">
            <w:pPr>
              <w:tabs>
                <w:tab w:val="left" w:pos="2835"/>
              </w:tabs>
              <w:spacing w:after="120"/>
            </w:pPr>
            <w:r w:rsidRPr="00463AB3">
              <w:t xml:space="preserve">The expected start date for the grant activity. </w:t>
            </w:r>
          </w:p>
        </w:tc>
      </w:tr>
      <w:tr w:rsidR="00205006" w:rsidRPr="00463AB3" w:rsidTr="00367A67">
        <w:tc>
          <w:tcPr>
            <w:tcW w:w="2513" w:type="dxa"/>
          </w:tcPr>
          <w:p w:rsidR="00205006" w:rsidRDefault="00E7733D" w:rsidP="00205006">
            <w:pPr>
              <w:tabs>
                <w:tab w:val="left" w:pos="2835"/>
              </w:tabs>
              <w:spacing w:after="120"/>
            </w:pPr>
            <w:r>
              <w:t>Commemorations</w:t>
            </w:r>
            <w:r w:rsidR="00205006">
              <w:t xml:space="preserve"> Grants Advisory Committee</w:t>
            </w:r>
          </w:p>
        </w:tc>
        <w:tc>
          <w:tcPr>
            <w:tcW w:w="6395" w:type="dxa"/>
          </w:tcPr>
          <w:p w:rsidR="00205006" w:rsidRPr="00463AB3" w:rsidRDefault="00205006" w:rsidP="00205006">
            <w:pPr>
              <w:tabs>
                <w:tab w:val="left" w:pos="2835"/>
              </w:tabs>
              <w:spacing w:after="120"/>
            </w:pPr>
            <w:r>
              <w:t xml:space="preserve">Comprises representatives from the </w:t>
            </w:r>
            <w:r w:rsidR="00E7733D">
              <w:t xml:space="preserve">Repatriation Commission, </w:t>
            </w:r>
            <w:r>
              <w:t>Returned Services League of Australia, the Australian Local Government, the Australian War Memorial and DVA.</w:t>
            </w:r>
          </w:p>
        </w:tc>
      </w:tr>
      <w:tr w:rsidR="00340616" w:rsidRPr="001B21A4" w:rsidTr="00367A67">
        <w:tc>
          <w:tcPr>
            <w:tcW w:w="2513" w:type="dxa"/>
          </w:tcPr>
          <w:p w:rsidR="00340616" w:rsidRPr="00463AB3" w:rsidRDefault="005E0682" w:rsidP="00694DF9">
            <w:pPr>
              <w:tabs>
                <w:tab w:val="left" w:pos="2835"/>
              </w:tabs>
              <w:spacing w:after="120"/>
            </w:pPr>
            <w:r>
              <w:t>c</w:t>
            </w:r>
            <w:r w:rsidR="00340616" w:rsidRPr="00463AB3">
              <w:t>ompletion date</w:t>
            </w:r>
          </w:p>
        </w:tc>
        <w:tc>
          <w:tcPr>
            <w:tcW w:w="6395" w:type="dxa"/>
          </w:tcPr>
          <w:p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0F383D" w:rsidRPr="001B21A4" w:rsidTr="00367A67">
        <w:tc>
          <w:tcPr>
            <w:tcW w:w="2513" w:type="dxa"/>
          </w:tcPr>
          <w:p w:rsidR="000F383D" w:rsidRDefault="000F383D" w:rsidP="000F383D">
            <w:pPr>
              <w:tabs>
                <w:tab w:val="left" w:pos="2835"/>
              </w:tabs>
              <w:spacing w:after="120"/>
            </w:pPr>
            <w:r>
              <w:t xml:space="preserve">Commonwealth </w:t>
            </w:r>
            <w:r w:rsidRPr="001B21A4">
              <w:t>entity</w:t>
            </w:r>
          </w:p>
        </w:tc>
        <w:tc>
          <w:tcPr>
            <w:tcW w:w="6395" w:type="dxa"/>
          </w:tcPr>
          <w:p w:rsidR="000F383D" w:rsidRPr="00463AB3" w:rsidRDefault="000F383D" w:rsidP="00B372C2">
            <w:pPr>
              <w:tabs>
                <w:tab w:val="left" w:pos="2835"/>
              </w:tabs>
              <w:spacing w:after="120"/>
            </w:pPr>
            <w:r w:rsidRPr="00710FAB">
              <w:rPr>
                <w:rFonts w:cs="Arial"/>
                <w:lang w:eastAsia="en-AU"/>
              </w:rPr>
              <w:t xml:space="preserve">A Department of State, or a Parliamentary Department, or a listed entity or a body corporate established by a law of the Commonwealth. </w:t>
            </w:r>
          </w:p>
        </w:tc>
      </w:tr>
      <w:tr w:rsidR="000F383D" w:rsidRPr="001B21A4" w:rsidTr="00367A67">
        <w:tc>
          <w:tcPr>
            <w:tcW w:w="2513" w:type="dxa"/>
          </w:tcPr>
          <w:p w:rsidR="000F383D" w:rsidRDefault="000F383D" w:rsidP="000F383D">
            <w:pPr>
              <w:tabs>
                <w:tab w:val="left" w:pos="2835"/>
              </w:tabs>
              <w:spacing w:after="120"/>
            </w:pPr>
            <w:r w:rsidRPr="0007627E">
              <w:t xml:space="preserve">cost shifting </w:t>
            </w:r>
          </w:p>
        </w:tc>
        <w:tc>
          <w:tcPr>
            <w:tcW w:w="6395" w:type="dxa"/>
          </w:tcPr>
          <w:p w:rsidR="000F383D" w:rsidRPr="00463AB3" w:rsidRDefault="000F383D" w:rsidP="00B372C2">
            <w:pPr>
              <w:tabs>
                <w:tab w:val="left" w:pos="2835"/>
              </w:tabs>
              <w:spacing w:after="120"/>
            </w:pPr>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340616" w:rsidRPr="001B21A4" w:rsidTr="00367A67">
        <w:tc>
          <w:tcPr>
            <w:tcW w:w="2513" w:type="dxa"/>
          </w:tcPr>
          <w:p w:rsidR="00340616" w:rsidRDefault="005E0682" w:rsidP="005E0682">
            <w:r>
              <w:t>d</w:t>
            </w:r>
            <w:r w:rsidR="00340616">
              <w:t>ate of effect</w:t>
            </w:r>
          </w:p>
        </w:tc>
        <w:tc>
          <w:tcPr>
            <w:tcW w:w="6395" w:type="dxa"/>
          </w:tcPr>
          <w:p w:rsidR="00340616" w:rsidRPr="00710FAB" w:rsidRDefault="00340616" w:rsidP="00B372C2">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340616" w:rsidRPr="001B21A4" w:rsidTr="00367A67">
        <w:tc>
          <w:tcPr>
            <w:tcW w:w="2513" w:type="dxa"/>
          </w:tcPr>
          <w:p w:rsidR="00340616" w:rsidRPr="001B21A4" w:rsidRDefault="00340616" w:rsidP="00694DF9">
            <w:r w:rsidRPr="001B21A4">
              <w:t>decision maker</w:t>
            </w:r>
          </w:p>
        </w:tc>
        <w:tc>
          <w:tcPr>
            <w:tcW w:w="6395" w:type="dxa"/>
          </w:tcPr>
          <w:p w:rsidR="00340616" w:rsidRPr="00710FAB" w:rsidRDefault="00340616" w:rsidP="00694DF9">
            <w:r w:rsidRPr="00710FAB">
              <w:rPr>
                <w:rFonts w:cs="Arial"/>
                <w:lang w:eastAsia="en-AU"/>
              </w:rPr>
              <w:t>The person who makes a decision to award a grant.</w:t>
            </w:r>
          </w:p>
        </w:tc>
      </w:tr>
      <w:tr w:rsidR="00340616" w:rsidRPr="001B21A4" w:rsidTr="00367A67">
        <w:tc>
          <w:tcPr>
            <w:tcW w:w="2513" w:type="dxa"/>
          </w:tcPr>
          <w:p w:rsidR="00340616" w:rsidRPr="001B21A4" w:rsidRDefault="00EA4635" w:rsidP="00694DF9">
            <w:r>
              <w:t>d</w:t>
            </w:r>
            <w:r w:rsidR="00340616">
              <w:t>ouble dipping</w:t>
            </w:r>
          </w:p>
        </w:tc>
        <w:tc>
          <w:tcPr>
            <w:tcW w:w="6395" w:type="dxa"/>
          </w:tcPr>
          <w:p w:rsidR="00340616" w:rsidRPr="00710FAB" w:rsidRDefault="00340616" w:rsidP="00726DB3">
            <w:r w:rsidRPr="00710FAB">
              <w:t xml:space="preserve">Double dipping occurs where a </w:t>
            </w:r>
            <w:r w:rsidR="00726DB3">
              <w:t>grantees</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340616" w:rsidRPr="001B21A4" w:rsidTr="00367A67">
        <w:tc>
          <w:tcPr>
            <w:tcW w:w="2513" w:type="dxa"/>
          </w:tcPr>
          <w:p w:rsidR="00340616" w:rsidRPr="001B21A4" w:rsidRDefault="00340616" w:rsidP="00694DF9">
            <w:pPr>
              <w:tabs>
                <w:tab w:val="left" w:pos="2835"/>
              </w:tabs>
              <w:spacing w:after="120"/>
            </w:pPr>
            <w:r w:rsidRPr="001B21A4">
              <w:t>eligibility criteria</w:t>
            </w:r>
          </w:p>
        </w:tc>
        <w:tc>
          <w:tcPr>
            <w:tcW w:w="6395" w:type="dxa"/>
          </w:tcPr>
          <w:p w:rsidR="00340616" w:rsidRPr="00710FAB" w:rsidRDefault="00340616" w:rsidP="00B372C2">
            <w:pPr>
              <w:tabs>
                <w:tab w:val="left" w:pos="2835"/>
              </w:tabs>
              <w:spacing w:after="120"/>
            </w:pPr>
            <w:r w:rsidRPr="00710FAB">
              <w:rPr>
                <w:rFonts w:cs="Arial"/>
                <w:lang w:eastAsia="en-AU"/>
              </w:rPr>
              <w:t>The principles, standards or rules that a grant applicant must meet to qualify for consideration of a grant. Eligibility criteria may apply in ad</w:t>
            </w:r>
            <w:r w:rsidR="00B372C2">
              <w:rPr>
                <w:rFonts w:cs="Arial"/>
                <w:lang w:eastAsia="en-AU"/>
              </w:rPr>
              <w:t xml:space="preserve">dition to assessment criteria. </w:t>
            </w:r>
          </w:p>
        </w:tc>
      </w:tr>
      <w:tr w:rsidR="00340616" w:rsidRPr="00463AB3" w:rsidTr="00A275FD">
        <w:tc>
          <w:tcPr>
            <w:tcW w:w="2513" w:type="dxa"/>
          </w:tcPr>
          <w:p w:rsidR="00340616" w:rsidRPr="00463AB3" w:rsidRDefault="00340616" w:rsidP="00694DF9">
            <w:pPr>
              <w:tabs>
                <w:tab w:val="left" w:pos="2835"/>
              </w:tabs>
              <w:spacing w:after="120"/>
            </w:pPr>
            <w:r w:rsidRPr="00463AB3">
              <w:rPr>
                <w:rFonts w:cs="Arial"/>
                <w:lang w:eastAsia="en-AU"/>
              </w:rPr>
              <w:lastRenderedPageBreak/>
              <w:t xml:space="preserve">grant </w:t>
            </w:r>
          </w:p>
        </w:tc>
        <w:tc>
          <w:tcPr>
            <w:tcW w:w="6395" w:type="dxa"/>
          </w:tcPr>
          <w:p w:rsidR="008A346B" w:rsidRDefault="008A346B" w:rsidP="008A346B">
            <w:pPr>
              <w:rPr>
                <w:lang w:eastAsia="en-AU"/>
              </w:rPr>
            </w:pPr>
            <w:r>
              <w:rPr>
                <w:lang w:eastAsia="en-AU"/>
              </w:rPr>
              <w:t>A grant is an arrangement for the provision of financial assistance by the Commonwealth or on behalf of the Commonwealth:</w:t>
            </w:r>
          </w:p>
          <w:p w:rsidR="008A346B" w:rsidRDefault="008A346B" w:rsidP="007F518C">
            <w:pPr>
              <w:numPr>
                <w:ilvl w:val="0"/>
                <w:numId w:val="26"/>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rsidR="00340616" w:rsidRPr="00463AB3" w:rsidRDefault="008A346B" w:rsidP="007F518C">
            <w:pPr>
              <w:numPr>
                <w:ilvl w:val="0"/>
                <w:numId w:val="26"/>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r w:rsidR="00423DCE">
              <w:rPr>
                <w:lang w:eastAsia="en-AU"/>
              </w:rPr>
              <w:t>.</w:t>
            </w:r>
          </w:p>
        </w:tc>
      </w:tr>
      <w:tr w:rsidR="00340616" w:rsidRPr="001B21A4" w:rsidTr="00A275FD">
        <w:tc>
          <w:tcPr>
            <w:tcW w:w="2513" w:type="dxa"/>
          </w:tcPr>
          <w:p w:rsidR="00340616" w:rsidRPr="0007627E" w:rsidRDefault="00340616" w:rsidP="00694DF9">
            <w:pPr>
              <w:tabs>
                <w:tab w:val="left" w:pos="2835"/>
              </w:tabs>
              <w:spacing w:after="120"/>
            </w:pPr>
            <w:r>
              <w:t xml:space="preserve">grant </w:t>
            </w:r>
            <w:r w:rsidRPr="001B21A4">
              <w:t>activity</w:t>
            </w:r>
          </w:p>
        </w:tc>
        <w:tc>
          <w:tcPr>
            <w:tcW w:w="6395" w:type="dxa"/>
          </w:tcPr>
          <w:p w:rsidR="00340616" w:rsidRPr="00710FAB" w:rsidRDefault="00340616" w:rsidP="00B372C2">
            <w:pPr>
              <w:tabs>
                <w:tab w:val="left" w:pos="2835"/>
              </w:tabs>
              <w:spacing w:after="120"/>
            </w:pPr>
            <w:r w:rsidRPr="00710FAB">
              <w:t xml:space="preserve">Is the project /tasks /services that the Grantee is required to undertake with the grant money. It is described in the Grant Agreement. </w:t>
            </w:r>
          </w:p>
        </w:tc>
      </w:tr>
      <w:tr w:rsidR="00340616" w:rsidRPr="001B21A4" w:rsidTr="00A275FD">
        <w:tc>
          <w:tcPr>
            <w:tcW w:w="2513" w:type="dxa"/>
          </w:tcPr>
          <w:p w:rsidR="00340616" w:rsidRPr="001B21A4" w:rsidRDefault="00340616" w:rsidP="00694DF9">
            <w:pPr>
              <w:tabs>
                <w:tab w:val="left" w:pos="2835"/>
              </w:tabs>
              <w:spacing w:after="120"/>
            </w:pPr>
            <w:r w:rsidRPr="001B21A4">
              <w:t>grant agreement</w:t>
            </w:r>
          </w:p>
        </w:tc>
        <w:tc>
          <w:tcPr>
            <w:tcW w:w="6395" w:type="dxa"/>
          </w:tcPr>
          <w:p w:rsidR="00340616" w:rsidRPr="00710FAB" w:rsidRDefault="00340616" w:rsidP="00726DB3">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 xml:space="preserve">grant agreements between the Commonwealth and </w:t>
            </w:r>
            <w:r w:rsidR="00726DB3">
              <w:t>grantees</w:t>
            </w:r>
            <w:r w:rsidRPr="00710FAB">
              <w:t xml:space="preserve"> to allow </w:t>
            </w:r>
            <w:r w:rsidR="00726DB3">
              <w:t>grantees</w:t>
            </w:r>
            <w:r w:rsidRPr="00710FAB">
              <w:t xml:space="preserve"> to engage more easily and efficiently with the Commonwealth. </w:t>
            </w:r>
          </w:p>
        </w:tc>
      </w:tr>
      <w:tr w:rsidR="00340616" w:rsidRPr="001B21A4" w:rsidTr="00A275FD">
        <w:tc>
          <w:tcPr>
            <w:tcW w:w="2513" w:type="dxa"/>
          </w:tcPr>
          <w:p w:rsidR="00340616" w:rsidRPr="001B21A4" w:rsidRDefault="00340616" w:rsidP="00694DF9">
            <w:pPr>
              <w:tabs>
                <w:tab w:val="left" w:pos="2835"/>
              </w:tabs>
              <w:spacing w:after="120"/>
            </w:pPr>
            <w:r>
              <w:t>grant opportunity</w:t>
            </w:r>
          </w:p>
        </w:tc>
        <w:tc>
          <w:tcPr>
            <w:tcW w:w="6395" w:type="dxa"/>
          </w:tcPr>
          <w:p w:rsidR="00340616" w:rsidRPr="00710FAB" w:rsidRDefault="00340616" w:rsidP="00B372C2">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340616" w:rsidRPr="001B21A4" w:rsidTr="00A275FD">
        <w:tc>
          <w:tcPr>
            <w:tcW w:w="2513" w:type="dxa"/>
          </w:tcPr>
          <w:p w:rsidR="00340616" w:rsidRPr="001B21A4" w:rsidRDefault="00340616" w:rsidP="00694DF9">
            <w:pPr>
              <w:tabs>
                <w:tab w:val="left" w:pos="2835"/>
              </w:tabs>
              <w:spacing w:after="120"/>
            </w:pPr>
            <w:r w:rsidRPr="001B21A4">
              <w:t xml:space="preserve">grant </w:t>
            </w:r>
            <w:r>
              <w:t>program</w:t>
            </w:r>
          </w:p>
        </w:tc>
        <w:tc>
          <w:tcPr>
            <w:tcW w:w="6395" w:type="dxa"/>
          </w:tcPr>
          <w:p w:rsidR="00340616" w:rsidRPr="00710FAB" w:rsidRDefault="00340616" w:rsidP="00694DF9">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340616" w:rsidRPr="001B21A4" w:rsidTr="00A275FD">
        <w:tc>
          <w:tcPr>
            <w:tcW w:w="2513" w:type="dxa"/>
          </w:tcPr>
          <w:p w:rsidR="00340616" w:rsidRPr="001B21A4" w:rsidRDefault="005E0682" w:rsidP="005E0682">
            <w:pPr>
              <w:tabs>
                <w:tab w:val="left" w:pos="2835"/>
              </w:tabs>
              <w:spacing w:after="120"/>
            </w:pPr>
            <w:r>
              <w:t>g</w:t>
            </w:r>
            <w:r w:rsidR="00340616">
              <w:t>rantee</w:t>
            </w:r>
          </w:p>
        </w:tc>
        <w:tc>
          <w:tcPr>
            <w:tcW w:w="6395" w:type="dxa"/>
          </w:tcPr>
          <w:p w:rsidR="00340616" w:rsidRPr="00710FAB" w:rsidRDefault="00340616" w:rsidP="00B372C2">
            <w:pPr>
              <w:tabs>
                <w:tab w:val="left" w:pos="2835"/>
              </w:tabs>
              <w:spacing w:after="120"/>
            </w:pPr>
            <w:r w:rsidRPr="00710FAB">
              <w:t xml:space="preserve">An individual/organisation that has been awarded a grant. </w:t>
            </w:r>
          </w:p>
        </w:tc>
      </w:tr>
      <w:tr w:rsidR="00340616" w:rsidRPr="00463AB3" w:rsidTr="00A275FD">
        <w:tc>
          <w:tcPr>
            <w:tcW w:w="2513" w:type="dxa"/>
          </w:tcPr>
          <w:p w:rsidR="00340616" w:rsidRPr="00463AB3" w:rsidRDefault="00340616" w:rsidP="00694DF9">
            <w:pPr>
              <w:tabs>
                <w:tab w:val="left" w:pos="2835"/>
              </w:tabs>
              <w:spacing w:after="120"/>
            </w:pPr>
            <w:r w:rsidRPr="00463AB3">
              <w:t>PBS Program</w:t>
            </w:r>
          </w:p>
        </w:tc>
        <w:tc>
          <w:tcPr>
            <w:tcW w:w="6395" w:type="dxa"/>
          </w:tcPr>
          <w:p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w:t>
            </w:r>
            <w:proofErr w:type="gramStart"/>
            <w:r w:rsidRPr="00463AB3">
              <w:t>provide</w:t>
            </w:r>
            <w:proofErr w:type="gramEnd"/>
            <w:r w:rsidRPr="00463AB3">
              <w:t xml:space="preserve"> transparency for funding decisions. These high level PBS programs often comprise a number of lower </w:t>
            </w:r>
            <w:proofErr w:type="gramStart"/>
            <w:r w:rsidRPr="00463AB3">
              <w:t>level</w:t>
            </w:r>
            <w:proofErr w:type="gramEnd"/>
            <w:r w:rsidRPr="00463AB3">
              <w:t xml:space="preserve">,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rsidTr="00A275FD">
        <w:tc>
          <w:tcPr>
            <w:tcW w:w="2513" w:type="dxa"/>
          </w:tcPr>
          <w:p w:rsidR="00340616" w:rsidRPr="001B21A4" w:rsidRDefault="00340616" w:rsidP="00694DF9">
            <w:pPr>
              <w:tabs>
                <w:tab w:val="left" w:pos="2835"/>
              </w:tabs>
              <w:spacing w:after="120"/>
            </w:pPr>
            <w:r w:rsidRPr="001B21A4">
              <w:t>selection criteria</w:t>
            </w:r>
          </w:p>
        </w:tc>
        <w:tc>
          <w:tcPr>
            <w:tcW w:w="6395" w:type="dxa"/>
          </w:tcPr>
          <w:p w:rsidR="00340616" w:rsidRPr="00710FAB" w:rsidRDefault="00340616" w:rsidP="00B372C2">
            <w:pPr>
              <w:tabs>
                <w:tab w:val="left" w:pos="2835"/>
              </w:tabs>
              <w:spacing w:after="120"/>
            </w:pPr>
            <w:r w:rsidRPr="00710FAB">
              <w:t>Comprise eligibility criteria and assessment criteria.</w:t>
            </w:r>
          </w:p>
        </w:tc>
      </w:tr>
      <w:tr w:rsidR="00340616" w:rsidRPr="001B21A4" w:rsidTr="00A275FD">
        <w:tc>
          <w:tcPr>
            <w:tcW w:w="2513" w:type="dxa"/>
          </w:tcPr>
          <w:p w:rsidR="00340616" w:rsidRPr="001B21A4" w:rsidRDefault="00340616" w:rsidP="00694DF9">
            <w:pPr>
              <w:tabs>
                <w:tab w:val="left" w:pos="2835"/>
              </w:tabs>
              <w:spacing w:after="120"/>
            </w:pPr>
            <w:r w:rsidRPr="001B21A4">
              <w:t>selection process</w:t>
            </w:r>
          </w:p>
        </w:tc>
        <w:tc>
          <w:tcPr>
            <w:tcW w:w="6395" w:type="dxa"/>
          </w:tcPr>
          <w:p w:rsidR="00340616" w:rsidRPr="00710FAB" w:rsidRDefault="00340616" w:rsidP="00B372C2">
            <w:pPr>
              <w:tabs>
                <w:tab w:val="left" w:pos="2835"/>
              </w:tabs>
              <w:spacing w:after="120"/>
            </w:pPr>
            <w:r w:rsidRPr="00710FAB">
              <w:t xml:space="preserve">The method used to select potential grantees. This process </w:t>
            </w:r>
            <w:r w:rsidRPr="00710FAB">
              <w:lastRenderedPageBreak/>
              <w:t>may involve comparative assessment of applications or the assessment of applications against the eligibility criteria a</w:t>
            </w:r>
            <w:r w:rsidR="00B372C2">
              <w:t xml:space="preserve">nd/or the assessment criteria. </w:t>
            </w:r>
          </w:p>
        </w:tc>
      </w:tr>
    </w:tbl>
    <w:p w:rsidR="00340616" w:rsidRDefault="00340616" w:rsidP="00340616">
      <w:pPr>
        <w:spacing w:after="0" w:line="240" w:lineRule="auto"/>
      </w:pPr>
    </w:p>
    <w:sectPr w:rsidR="00340616" w:rsidSect="005A41E0">
      <w:headerReference w:type="default" r:id="rId45"/>
      <w:footerReference w:type="default" r:id="rId46"/>
      <w:headerReference w:type="first" r:id="rId47"/>
      <w:pgSz w:w="11906" w:h="16838" w:code="9"/>
      <w:pgMar w:top="226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41C" w:rsidRDefault="00AA541C" w:rsidP="00EF4574">
      <w:pPr>
        <w:spacing w:before="0" w:after="0" w:line="240" w:lineRule="auto"/>
      </w:pPr>
      <w:r>
        <w:separator/>
      </w:r>
    </w:p>
    <w:p w:rsidR="00AA541C" w:rsidRDefault="00AA541C"/>
  </w:endnote>
  <w:endnote w:type="continuationSeparator" w:id="0">
    <w:p w:rsidR="00AA541C" w:rsidRDefault="00AA541C" w:rsidP="00EF4574">
      <w:pPr>
        <w:spacing w:before="0" w:after="0" w:line="240" w:lineRule="auto"/>
      </w:pPr>
      <w:r>
        <w:continuationSeparator/>
      </w:r>
    </w:p>
    <w:p w:rsidR="00AA541C" w:rsidRDefault="00AA541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W1)">
    <w:altName w:val="Times New Roman"/>
    <w:charset w:val="00"/>
    <w:family w:val="roman"/>
    <w:pitch w:val="variable"/>
    <w:sig w:usb0="00000000" w:usb1="80000000" w:usb2="00000008"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D" w:rsidRDefault="0072116D" w:rsidP="005970EA">
    <w:pPr>
      <w:pStyle w:val="Footer"/>
      <w:rPr>
        <w:noProof/>
      </w:rPr>
    </w:pPr>
    <w:r>
      <w:tab/>
    </w:r>
    <w:r>
      <w:tab/>
    </w:r>
    <w:r w:rsidR="0064088A">
      <w:fldChar w:fldCharType="begin"/>
    </w:r>
    <w:r>
      <w:instrText xml:space="preserve"> PAGE   \* MERGEFORMAT </w:instrText>
    </w:r>
    <w:r w:rsidR="0064088A">
      <w:fldChar w:fldCharType="separate"/>
    </w:r>
    <w:r w:rsidR="00D56AA0">
      <w:rPr>
        <w:noProof/>
      </w:rPr>
      <w:t>8</w:t>
    </w:r>
    <w:r w:rsidR="0064088A">
      <w:rPr>
        <w:noProof/>
      </w:rPr>
      <w:fldChar w:fldCharType="end"/>
    </w:r>
  </w:p>
  <w:p w:rsidR="0072116D" w:rsidRDefault="0072116D" w:rsidP="005970EA">
    <w:pPr>
      <w:pStyle w:val="Footer"/>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41C" w:rsidRDefault="00AA541C" w:rsidP="0020122A">
      <w:pPr>
        <w:pStyle w:val="FootnoteSeparator"/>
      </w:pPr>
    </w:p>
  </w:footnote>
  <w:footnote w:type="continuationSeparator" w:id="0">
    <w:p w:rsidR="00AA541C" w:rsidRDefault="00AA541C" w:rsidP="00EF4574">
      <w:pPr>
        <w:spacing w:before="0" w:after="0" w:line="240" w:lineRule="auto"/>
      </w:pPr>
      <w:r>
        <w:continuationSeparator/>
      </w:r>
    </w:p>
    <w:p w:rsidR="00AA541C" w:rsidRDefault="00AA541C"/>
  </w:footnote>
  <w:footnote w:id="1">
    <w:p w:rsidR="0072116D" w:rsidRDefault="0072116D" w:rsidP="00205006">
      <w:pPr>
        <w:pStyle w:val="FootnoteText"/>
      </w:pPr>
      <w:r>
        <w:rPr>
          <w:rStyle w:val="FootnoteReference"/>
        </w:rPr>
        <w:footnoteRef/>
      </w:r>
      <w:r>
        <w:t xml:space="preserve"> See Glossary</w:t>
      </w:r>
    </w:p>
  </w:footnote>
  <w:footnote w:id="2">
    <w:p w:rsidR="00EF478F" w:rsidRDefault="00EF478F" w:rsidP="00EF478F">
      <w:pPr>
        <w:pStyle w:val="FootnoteText"/>
        <w:ind w:left="142" w:hanging="142"/>
      </w:pPr>
      <w:r w:rsidRPr="00E0135C">
        <w:rPr>
          <w:rStyle w:val="FootnoteReference"/>
          <w:rFonts w:ascii="Arial" w:hAnsi="Arial" w:cs="Arial"/>
          <w:szCs w:val="16"/>
        </w:rPr>
        <w:footnoteRef/>
      </w:r>
      <w:r w:rsidRPr="00E0135C">
        <w:rPr>
          <w:rFonts w:ascii="Arial" w:hAnsi="Arial" w:cs="Arial"/>
          <w:szCs w:val="16"/>
        </w:rPr>
        <w:t xml:space="preserve"> </w:t>
      </w:r>
      <w:r>
        <w:rPr>
          <w:rFonts w:ascii="Arial" w:hAnsi="Arial" w:cs="Arial"/>
          <w:szCs w:val="16"/>
        </w:rPr>
        <w:t>Trusts are not legal entities in their own right – to be eligible, only the Trustee for the Trust can apply with providing t</w:t>
      </w:r>
      <w:r w:rsidRPr="00E0135C">
        <w:rPr>
          <w:rFonts w:ascii="Arial" w:hAnsi="Arial" w:cs="Arial"/>
          <w:szCs w:val="16"/>
        </w:rPr>
        <w:t>he signed Trust Deed and any subsequent variations with the Application Form (refer Attachments Section)</w:t>
      </w:r>
    </w:p>
  </w:footnote>
  <w:footnote w:id="3">
    <w:p w:rsidR="00EF478F" w:rsidRDefault="00EF478F" w:rsidP="00EF478F">
      <w:pPr>
        <w:pStyle w:val="FootnoteText"/>
      </w:pPr>
      <w:r>
        <w:rPr>
          <w:rStyle w:val="FootnoteReference"/>
        </w:rPr>
        <w:footnoteRef/>
      </w:r>
      <w:r>
        <w:t xml:space="preserve"> </w:t>
      </w:r>
      <w:r w:rsidRPr="008E7798">
        <w:rPr>
          <w:rFonts w:ascii="Arial" w:hAnsi="Arial" w:cs="Arial"/>
        </w:rPr>
        <w:t xml:space="preserve">The Australian Government recognises that some organisations may seek to form consortia in order to apply for a grant under the Program. </w:t>
      </w:r>
      <w:r>
        <w:rPr>
          <w:rFonts w:ascii="Arial" w:hAnsi="Arial" w:cs="Arial"/>
        </w:rPr>
        <w:t xml:space="preserve">The lead applicant must have legal entity status. </w:t>
      </w:r>
    </w:p>
  </w:footnote>
  <w:footnote w:id="4">
    <w:p w:rsidR="00FD2828" w:rsidRDefault="00FD2828" w:rsidP="00FD2828">
      <w:pPr>
        <w:pStyle w:val="FootnoteText"/>
        <w:ind w:left="142" w:hanging="142"/>
      </w:pPr>
      <w:r w:rsidRPr="00FD2828">
        <w:rPr>
          <w:rStyle w:val="FootnoteReference"/>
          <w:rFonts w:ascii="Arial" w:hAnsi="Arial" w:cs="Arial"/>
          <w:szCs w:val="16"/>
        </w:rPr>
        <w:footnoteRef/>
      </w:r>
      <w:r w:rsidRPr="00FD2828">
        <w:rPr>
          <w:rFonts w:ascii="Arial" w:hAnsi="Arial" w:cs="Arial"/>
          <w:szCs w:val="16"/>
        </w:rPr>
        <w:t xml:space="preserve"> </w:t>
      </w:r>
      <w:r w:rsidRPr="00FD2828">
        <w:rPr>
          <w:szCs w:val="16"/>
        </w:rPr>
        <w:t>This may be the Hub delegate or nominated staff member of the client agency at the EL2 level or above.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D" w:rsidRPr="000A6A8B" w:rsidRDefault="0072116D" w:rsidP="000A6A8B">
    <w:pPr>
      <w:pStyle w:val="Header"/>
      <w:jc w:val="center"/>
      <w:rPr>
        <w:rStyle w:val="Classificatio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6D" w:rsidRDefault="0072116D" w:rsidP="000A6A8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07A"/>
    <w:multiLevelType w:val="multilevel"/>
    <w:tmpl w:val="883CD5E0"/>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03F03ED7"/>
    <w:multiLevelType w:val="hybridMultilevel"/>
    <w:tmpl w:val="051A1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nsid w:val="0ABF6081"/>
    <w:multiLevelType w:val="hybridMultilevel"/>
    <w:tmpl w:val="520AA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A25F58"/>
    <w:multiLevelType w:val="hybridMultilevel"/>
    <w:tmpl w:val="D9C6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9F4DAD"/>
    <w:multiLevelType w:val="hybridMultilevel"/>
    <w:tmpl w:val="64324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29596853"/>
    <w:multiLevelType w:val="multilevel"/>
    <w:tmpl w:val="2DCC735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2F34566"/>
    <w:multiLevelType w:val="hybridMultilevel"/>
    <w:tmpl w:val="5BF08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2A2945"/>
    <w:multiLevelType w:val="hybridMultilevel"/>
    <w:tmpl w:val="E6B6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8453C8"/>
    <w:multiLevelType w:val="hybridMultilevel"/>
    <w:tmpl w:val="DF5083D6"/>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25A2"/>
    <w:multiLevelType w:val="multilevel"/>
    <w:tmpl w:val="C2A85628"/>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5">
    <w:nsid w:val="6D41237C"/>
    <w:multiLevelType w:val="multilevel"/>
    <w:tmpl w:val="2F507C9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E807D3C"/>
    <w:multiLevelType w:val="hybridMultilevel"/>
    <w:tmpl w:val="00725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E9232EE"/>
    <w:multiLevelType w:val="hybridMultilevel"/>
    <w:tmpl w:val="FE3835FE"/>
    <w:lvl w:ilvl="0" w:tplc="B9F8F09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553253"/>
    <w:multiLevelType w:val="hybridMultilevel"/>
    <w:tmpl w:val="6096E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nsid w:val="74C16CDC"/>
    <w:multiLevelType w:val="hybridMultilevel"/>
    <w:tmpl w:val="ED80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1A6D3C"/>
    <w:multiLevelType w:val="multilevel"/>
    <w:tmpl w:val="02642B94"/>
    <w:lvl w:ilvl="0">
      <w:start w:val="1"/>
      <w:numFmt w:val="decimal"/>
      <w:isLgl/>
      <w:lvlText w:val="%1."/>
      <w:lvlJc w:val="left"/>
      <w:pPr>
        <w:tabs>
          <w:tab w:val="num" w:pos="360"/>
        </w:tabs>
        <w:ind w:left="360" w:hanging="360"/>
      </w:pPr>
      <w:rPr>
        <w:rFonts w:ascii="Times New (W1)" w:hAnsi="Times New (W1)" w:hint="default"/>
        <w:b/>
        <w:i w:val="0"/>
      </w:rPr>
    </w:lvl>
    <w:lvl w:ilvl="1">
      <w:start w:val="1"/>
      <w:numFmt w:val="decimal"/>
      <w:pStyle w:val="HeadingB"/>
      <w:lvlText w:val="%1.%2."/>
      <w:lvlJc w:val="left"/>
      <w:pPr>
        <w:tabs>
          <w:tab w:val="num" w:pos="1080"/>
        </w:tabs>
        <w:ind w:left="792" w:hanging="432"/>
      </w:pPr>
      <w:rPr>
        <w:rFonts w:hint="default"/>
      </w:rPr>
    </w:lvl>
    <w:lvl w:ilvl="2">
      <w:start w:val="1"/>
      <w:numFmt w:val="decimal"/>
      <w:pStyle w:val="Heading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7C273F3F"/>
    <w:multiLevelType w:val="hybridMultilevel"/>
    <w:tmpl w:val="3A38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22"/>
  </w:num>
  <w:num w:numId="5">
    <w:abstractNumId w:val="23"/>
  </w:num>
  <w:num w:numId="6">
    <w:abstractNumId w:val="5"/>
  </w:num>
  <w:num w:numId="7">
    <w:abstractNumId w:val="6"/>
  </w:num>
  <w:num w:numId="8">
    <w:abstractNumId w:val="10"/>
  </w:num>
  <w:num w:numId="9">
    <w:abstractNumId w:val="20"/>
  </w:num>
  <w:num w:numId="10">
    <w:abstractNumId w:val="24"/>
  </w:num>
  <w:num w:numId="11">
    <w:abstractNumId w:val="19"/>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1"/>
  </w:num>
  <w:num w:numId="13">
    <w:abstractNumId w:val="1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3"/>
    </w:lvlOverride>
  </w:num>
  <w:num w:numId="16">
    <w:abstractNumId w:val="15"/>
  </w:num>
  <w:num w:numId="17">
    <w:abstractNumId w:val="13"/>
  </w:num>
  <w:num w:numId="18">
    <w:abstractNumId w:val="17"/>
  </w:num>
  <w:num w:numId="19">
    <w:abstractNumId w:val="13"/>
    <w:lvlOverride w:ilvl="0">
      <w:lvl w:ilvl="0">
        <w:numFmt w:val="decimal"/>
        <w:pStyle w:val="Heading1Numbered"/>
        <w:lvlText w:val=""/>
        <w:lvlJc w:val="left"/>
      </w:lvl>
    </w:lvlOverride>
    <w:lvlOverride w:ilvl="1">
      <w:lvl w:ilvl="1">
        <w:start w:val="1"/>
        <w:numFmt w:val="decimal"/>
        <w:pStyle w:val="Heading2Numbered"/>
        <w:lvlText w:val="%1.%2"/>
        <w:lvlJc w:val="left"/>
        <w:pPr>
          <w:ind w:left="993" w:hanging="567"/>
        </w:pPr>
        <w:rPr>
          <w:rFonts w:hint="default"/>
        </w:rPr>
      </w:lvl>
    </w:lvlOverride>
  </w:num>
  <w:num w:numId="20">
    <w:abstractNumId w:val="25"/>
  </w:num>
  <w:num w:numId="21">
    <w:abstractNumId w:val="14"/>
  </w:num>
  <w:num w:numId="22">
    <w:abstractNumId w:val="21"/>
  </w:num>
  <w:num w:numId="23">
    <w:abstractNumId w:val="12"/>
  </w:num>
  <w:num w:numId="24">
    <w:abstractNumId w:val="30"/>
  </w:num>
  <w:num w:numId="25">
    <w:abstractNumId w:val="1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29"/>
  </w:num>
  <w:num w:numId="30">
    <w:abstractNumId w:val="7"/>
  </w:num>
  <w:num w:numId="31">
    <w:abstractNumId w:val="0"/>
  </w:num>
  <w:num w:numId="32">
    <w:abstractNumId w:val="18"/>
  </w:num>
  <w:num w:numId="33">
    <w:abstractNumId w:val="27"/>
  </w:num>
  <w:num w:numId="34">
    <w:abstractNumId w:val="6"/>
  </w:num>
  <w:num w:numId="35">
    <w:abstractNumId w:val="3"/>
  </w:num>
  <w:num w:numId="36">
    <w:abstractNumId w:val="4"/>
  </w:num>
  <w:num w:numId="37">
    <w:abstractNumId w:val="8"/>
  </w:num>
  <w:num w:numId="38">
    <w:abstractNumId w:val="32"/>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6"/>
  </w:num>
  <w:num w:numId="42">
    <w:abstractNumId w:val="29"/>
  </w:num>
  <w:num w:numId="43">
    <w:abstractNumId w:val="1"/>
  </w:num>
  <w:num w:numId="44">
    <w:abstractNumId w:val="29"/>
  </w:num>
  <w:num w:numId="45">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4097"/>
  </w:hdrShapeDefaults>
  <w:footnotePr>
    <w:footnote w:id="-1"/>
    <w:footnote w:id="0"/>
  </w:footnotePr>
  <w:endnotePr>
    <w:endnote w:id="-1"/>
    <w:endnote w:id="0"/>
  </w:endnotePr>
  <w:compat/>
  <w:rsids>
    <w:rsidRoot w:val="00D0296C"/>
    <w:rsid w:val="000018BE"/>
    <w:rsid w:val="0000318D"/>
    <w:rsid w:val="00003366"/>
    <w:rsid w:val="000048E2"/>
    <w:rsid w:val="00007289"/>
    <w:rsid w:val="00011B45"/>
    <w:rsid w:val="00017648"/>
    <w:rsid w:val="000239A0"/>
    <w:rsid w:val="00024E94"/>
    <w:rsid w:val="0002782F"/>
    <w:rsid w:val="0004306B"/>
    <w:rsid w:val="00045933"/>
    <w:rsid w:val="00046FCA"/>
    <w:rsid w:val="00050D65"/>
    <w:rsid w:val="00054E4D"/>
    <w:rsid w:val="00056305"/>
    <w:rsid w:val="00060073"/>
    <w:rsid w:val="00060319"/>
    <w:rsid w:val="000603C7"/>
    <w:rsid w:val="00061A22"/>
    <w:rsid w:val="000623A2"/>
    <w:rsid w:val="0006243E"/>
    <w:rsid w:val="00067220"/>
    <w:rsid w:val="000829F4"/>
    <w:rsid w:val="000842D6"/>
    <w:rsid w:val="000A271A"/>
    <w:rsid w:val="000A35DF"/>
    <w:rsid w:val="000A4B30"/>
    <w:rsid w:val="000A61F6"/>
    <w:rsid w:val="000A6A8B"/>
    <w:rsid w:val="000B2E96"/>
    <w:rsid w:val="000B5AE7"/>
    <w:rsid w:val="000B68C8"/>
    <w:rsid w:val="000C2A48"/>
    <w:rsid w:val="000C5F75"/>
    <w:rsid w:val="000C74F1"/>
    <w:rsid w:val="000C75E9"/>
    <w:rsid w:val="000D60B1"/>
    <w:rsid w:val="000E1AD1"/>
    <w:rsid w:val="000E3EF7"/>
    <w:rsid w:val="000E7203"/>
    <w:rsid w:val="000F383D"/>
    <w:rsid w:val="0010207A"/>
    <w:rsid w:val="00103A95"/>
    <w:rsid w:val="00110392"/>
    <w:rsid w:val="0011050C"/>
    <w:rsid w:val="00115456"/>
    <w:rsid w:val="001178AA"/>
    <w:rsid w:val="00131C22"/>
    <w:rsid w:val="0013331D"/>
    <w:rsid w:val="00135427"/>
    <w:rsid w:val="00136530"/>
    <w:rsid w:val="0014459E"/>
    <w:rsid w:val="001459AB"/>
    <w:rsid w:val="001541EA"/>
    <w:rsid w:val="00155903"/>
    <w:rsid w:val="001564EA"/>
    <w:rsid w:val="001612A4"/>
    <w:rsid w:val="00162B05"/>
    <w:rsid w:val="0016751F"/>
    <w:rsid w:val="00173FA3"/>
    <w:rsid w:val="00174C26"/>
    <w:rsid w:val="001777FE"/>
    <w:rsid w:val="00186E42"/>
    <w:rsid w:val="00186E9D"/>
    <w:rsid w:val="001972E9"/>
    <w:rsid w:val="001A0777"/>
    <w:rsid w:val="001A4A4E"/>
    <w:rsid w:val="001A4B38"/>
    <w:rsid w:val="001B05FD"/>
    <w:rsid w:val="001C5431"/>
    <w:rsid w:val="001C58A0"/>
    <w:rsid w:val="001C71EB"/>
    <w:rsid w:val="001D2561"/>
    <w:rsid w:val="001D5A38"/>
    <w:rsid w:val="001D7EB4"/>
    <w:rsid w:val="001E1DC0"/>
    <w:rsid w:val="001E433D"/>
    <w:rsid w:val="001F6504"/>
    <w:rsid w:val="001F6517"/>
    <w:rsid w:val="001F6CA7"/>
    <w:rsid w:val="001F6D91"/>
    <w:rsid w:val="00200637"/>
    <w:rsid w:val="00200BBA"/>
    <w:rsid w:val="0020122A"/>
    <w:rsid w:val="002031D9"/>
    <w:rsid w:val="00205006"/>
    <w:rsid w:val="00216C9B"/>
    <w:rsid w:val="00231036"/>
    <w:rsid w:val="002314E4"/>
    <w:rsid w:val="00235C6C"/>
    <w:rsid w:val="00241945"/>
    <w:rsid w:val="00243036"/>
    <w:rsid w:val="00245154"/>
    <w:rsid w:val="00246CB6"/>
    <w:rsid w:val="00247E44"/>
    <w:rsid w:val="00250AEF"/>
    <w:rsid w:val="00255E18"/>
    <w:rsid w:val="0025763F"/>
    <w:rsid w:val="0025776D"/>
    <w:rsid w:val="00261E67"/>
    <w:rsid w:val="00262B5B"/>
    <w:rsid w:val="00263AD9"/>
    <w:rsid w:val="00263D7D"/>
    <w:rsid w:val="00274F3B"/>
    <w:rsid w:val="00275F18"/>
    <w:rsid w:val="00284C65"/>
    <w:rsid w:val="0028602A"/>
    <w:rsid w:val="00297D93"/>
    <w:rsid w:val="002A26A4"/>
    <w:rsid w:val="002B0C2A"/>
    <w:rsid w:val="002B0CD4"/>
    <w:rsid w:val="002B3440"/>
    <w:rsid w:val="002B57E1"/>
    <w:rsid w:val="002B69B1"/>
    <w:rsid w:val="002C2526"/>
    <w:rsid w:val="002C2BC3"/>
    <w:rsid w:val="002C7BB1"/>
    <w:rsid w:val="002D6E18"/>
    <w:rsid w:val="002E00E2"/>
    <w:rsid w:val="002E10BE"/>
    <w:rsid w:val="002E2B74"/>
    <w:rsid w:val="002F1290"/>
    <w:rsid w:val="002F4411"/>
    <w:rsid w:val="00301144"/>
    <w:rsid w:val="003020E9"/>
    <w:rsid w:val="003068FF"/>
    <w:rsid w:val="00306F1F"/>
    <w:rsid w:val="00310F85"/>
    <w:rsid w:val="003142DD"/>
    <w:rsid w:val="003148B7"/>
    <w:rsid w:val="00314F74"/>
    <w:rsid w:val="003158C3"/>
    <w:rsid w:val="003210B3"/>
    <w:rsid w:val="00321A54"/>
    <w:rsid w:val="00326F29"/>
    <w:rsid w:val="003274CD"/>
    <w:rsid w:val="003357B0"/>
    <w:rsid w:val="00337F14"/>
    <w:rsid w:val="00340616"/>
    <w:rsid w:val="0035119D"/>
    <w:rsid w:val="00354892"/>
    <w:rsid w:val="00367346"/>
    <w:rsid w:val="00367A67"/>
    <w:rsid w:val="003717CD"/>
    <w:rsid w:val="00376B7C"/>
    <w:rsid w:val="00381373"/>
    <w:rsid w:val="003A2E24"/>
    <w:rsid w:val="003A71C5"/>
    <w:rsid w:val="003B26C2"/>
    <w:rsid w:val="003B4C5C"/>
    <w:rsid w:val="003B4F12"/>
    <w:rsid w:val="003B548A"/>
    <w:rsid w:val="003C2805"/>
    <w:rsid w:val="003C293D"/>
    <w:rsid w:val="003C6014"/>
    <w:rsid w:val="003E60A5"/>
    <w:rsid w:val="003F3468"/>
    <w:rsid w:val="003F755C"/>
    <w:rsid w:val="004003E2"/>
    <w:rsid w:val="00410D75"/>
    <w:rsid w:val="004134FD"/>
    <w:rsid w:val="00423350"/>
    <w:rsid w:val="00423DCE"/>
    <w:rsid w:val="00423F31"/>
    <w:rsid w:val="00431899"/>
    <w:rsid w:val="00433ACA"/>
    <w:rsid w:val="0043420C"/>
    <w:rsid w:val="00435C52"/>
    <w:rsid w:val="00440A2B"/>
    <w:rsid w:val="00446E36"/>
    <w:rsid w:val="004475DB"/>
    <w:rsid w:val="00452A68"/>
    <w:rsid w:val="00454D32"/>
    <w:rsid w:val="0046123A"/>
    <w:rsid w:val="00472F8F"/>
    <w:rsid w:val="00477932"/>
    <w:rsid w:val="00483145"/>
    <w:rsid w:val="00484478"/>
    <w:rsid w:val="00486804"/>
    <w:rsid w:val="004869F1"/>
    <w:rsid w:val="004877DC"/>
    <w:rsid w:val="004A16E0"/>
    <w:rsid w:val="004B22C8"/>
    <w:rsid w:val="004B3775"/>
    <w:rsid w:val="004B53C4"/>
    <w:rsid w:val="004C2A06"/>
    <w:rsid w:val="004C33CE"/>
    <w:rsid w:val="004E058F"/>
    <w:rsid w:val="004E2AB1"/>
    <w:rsid w:val="004E3B87"/>
    <w:rsid w:val="004E5301"/>
    <w:rsid w:val="005052E8"/>
    <w:rsid w:val="00510921"/>
    <w:rsid w:val="005109D5"/>
    <w:rsid w:val="00510AD3"/>
    <w:rsid w:val="00513348"/>
    <w:rsid w:val="00514857"/>
    <w:rsid w:val="00517EA1"/>
    <w:rsid w:val="005205EB"/>
    <w:rsid w:val="00521A5F"/>
    <w:rsid w:val="00523706"/>
    <w:rsid w:val="00523CEC"/>
    <w:rsid w:val="00533B5D"/>
    <w:rsid w:val="00533BCE"/>
    <w:rsid w:val="005349C6"/>
    <w:rsid w:val="005368E9"/>
    <w:rsid w:val="0054078D"/>
    <w:rsid w:val="00542121"/>
    <w:rsid w:val="00547413"/>
    <w:rsid w:val="00547553"/>
    <w:rsid w:val="005542ED"/>
    <w:rsid w:val="005570E8"/>
    <w:rsid w:val="00557422"/>
    <w:rsid w:val="00560903"/>
    <w:rsid w:val="00560F34"/>
    <w:rsid w:val="00574B5D"/>
    <w:rsid w:val="00591A15"/>
    <w:rsid w:val="005923A3"/>
    <w:rsid w:val="00593CBA"/>
    <w:rsid w:val="005970EA"/>
    <w:rsid w:val="005A00FA"/>
    <w:rsid w:val="005A41E0"/>
    <w:rsid w:val="005A7F56"/>
    <w:rsid w:val="005C083C"/>
    <w:rsid w:val="005C37F0"/>
    <w:rsid w:val="005D00E1"/>
    <w:rsid w:val="005D2D36"/>
    <w:rsid w:val="005D60DC"/>
    <w:rsid w:val="005E030F"/>
    <w:rsid w:val="005E05F7"/>
    <w:rsid w:val="005E0682"/>
    <w:rsid w:val="005E6D64"/>
    <w:rsid w:val="005F3DD0"/>
    <w:rsid w:val="005F5A7F"/>
    <w:rsid w:val="00610198"/>
    <w:rsid w:val="00610BBB"/>
    <w:rsid w:val="00615F53"/>
    <w:rsid w:val="0062045E"/>
    <w:rsid w:val="00623BA1"/>
    <w:rsid w:val="006338CC"/>
    <w:rsid w:val="006346BC"/>
    <w:rsid w:val="00636C5F"/>
    <w:rsid w:val="0064088A"/>
    <w:rsid w:val="006449A8"/>
    <w:rsid w:val="00647D91"/>
    <w:rsid w:val="00647EF0"/>
    <w:rsid w:val="006539C9"/>
    <w:rsid w:val="0065442E"/>
    <w:rsid w:val="00655395"/>
    <w:rsid w:val="0065715B"/>
    <w:rsid w:val="0066124F"/>
    <w:rsid w:val="00663F8E"/>
    <w:rsid w:val="00664345"/>
    <w:rsid w:val="00664549"/>
    <w:rsid w:val="00666291"/>
    <w:rsid w:val="0066652A"/>
    <w:rsid w:val="00675966"/>
    <w:rsid w:val="00676EE2"/>
    <w:rsid w:val="00682167"/>
    <w:rsid w:val="00683628"/>
    <w:rsid w:val="00683DA3"/>
    <w:rsid w:val="006845E9"/>
    <w:rsid w:val="0069141B"/>
    <w:rsid w:val="00694DF9"/>
    <w:rsid w:val="006A228F"/>
    <w:rsid w:val="006A2BE2"/>
    <w:rsid w:val="006A332C"/>
    <w:rsid w:val="006A5661"/>
    <w:rsid w:val="006A6CB1"/>
    <w:rsid w:val="006B11FB"/>
    <w:rsid w:val="006B1706"/>
    <w:rsid w:val="006B76A5"/>
    <w:rsid w:val="006B7F10"/>
    <w:rsid w:val="006C42AF"/>
    <w:rsid w:val="006C4DD1"/>
    <w:rsid w:val="006D2DB2"/>
    <w:rsid w:val="006D40AF"/>
    <w:rsid w:val="006F7743"/>
    <w:rsid w:val="0070162F"/>
    <w:rsid w:val="00703D72"/>
    <w:rsid w:val="00706BFD"/>
    <w:rsid w:val="00711D6F"/>
    <w:rsid w:val="00711D8E"/>
    <w:rsid w:val="00712672"/>
    <w:rsid w:val="0072116D"/>
    <w:rsid w:val="007258DA"/>
    <w:rsid w:val="00726710"/>
    <w:rsid w:val="00726DB3"/>
    <w:rsid w:val="0073469E"/>
    <w:rsid w:val="00734E3F"/>
    <w:rsid w:val="00736985"/>
    <w:rsid w:val="00737A13"/>
    <w:rsid w:val="007441E4"/>
    <w:rsid w:val="00754B23"/>
    <w:rsid w:val="00755919"/>
    <w:rsid w:val="0076511F"/>
    <w:rsid w:val="00786B27"/>
    <w:rsid w:val="0078775F"/>
    <w:rsid w:val="00790756"/>
    <w:rsid w:val="00792497"/>
    <w:rsid w:val="00794773"/>
    <w:rsid w:val="00794EE1"/>
    <w:rsid w:val="00796B71"/>
    <w:rsid w:val="007A25F0"/>
    <w:rsid w:val="007B1A1A"/>
    <w:rsid w:val="007B6200"/>
    <w:rsid w:val="007B705E"/>
    <w:rsid w:val="007B76E5"/>
    <w:rsid w:val="007C24EA"/>
    <w:rsid w:val="007D41FF"/>
    <w:rsid w:val="007F518C"/>
    <w:rsid w:val="00801B9F"/>
    <w:rsid w:val="0080749D"/>
    <w:rsid w:val="008114FB"/>
    <w:rsid w:val="00812258"/>
    <w:rsid w:val="00817D38"/>
    <w:rsid w:val="0082131F"/>
    <w:rsid w:val="0082630A"/>
    <w:rsid w:val="00833BE0"/>
    <w:rsid w:val="008374B2"/>
    <w:rsid w:val="00857BB6"/>
    <w:rsid w:val="008610B7"/>
    <w:rsid w:val="008622BF"/>
    <w:rsid w:val="00871159"/>
    <w:rsid w:val="00880B3F"/>
    <w:rsid w:val="00881216"/>
    <w:rsid w:val="008873D4"/>
    <w:rsid w:val="00892C8B"/>
    <w:rsid w:val="0089786A"/>
    <w:rsid w:val="008A1FC9"/>
    <w:rsid w:val="008A346B"/>
    <w:rsid w:val="008A3DD5"/>
    <w:rsid w:val="008A526E"/>
    <w:rsid w:val="008B62C7"/>
    <w:rsid w:val="008C0571"/>
    <w:rsid w:val="008C7A67"/>
    <w:rsid w:val="008C7F98"/>
    <w:rsid w:val="008D264C"/>
    <w:rsid w:val="008D2F6C"/>
    <w:rsid w:val="008D4A99"/>
    <w:rsid w:val="008E2331"/>
    <w:rsid w:val="008F2999"/>
    <w:rsid w:val="008F3B1B"/>
    <w:rsid w:val="009141ED"/>
    <w:rsid w:val="0091452D"/>
    <w:rsid w:val="00925ECE"/>
    <w:rsid w:val="00931A2A"/>
    <w:rsid w:val="00934587"/>
    <w:rsid w:val="00934C23"/>
    <w:rsid w:val="00943028"/>
    <w:rsid w:val="009445C4"/>
    <w:rsid w:val="00944960"/>
    <w:rsid w:val="00950336"/>
    <w:rsid w:val="009525F4"/>
    <w:rsid w:val="0095419B"/>
    <w:rsid w:val="0095772E"/>
    <w:rsid w:val="009625B7"/>
    <w:rsid w:val="00964513"/>
    <w:rsid w:val="00964FCD"/>
    <w:rsid w:val="00971FF6"/>
    <w:rsid w:val="009744FB"/>
    <w:rsid w:val="00974583"/>
    <w:rsid w:val="009755E3"/>
    <w:rsid w:val="00975CE9"/>
    <w:rsid w:val="00977007"/>
    <w:rsid w:val="0098030B"/>
    <w:rsid w:val="00984B3C"/>
    <w:rsid w:val="00985BA1"/>
    <w:rsid w:val="00987D7B"/>
    <w:rsid w:val="00995116"/>
    <w:rsid w:val="009A2911"/>
    <w:rsid w:val="009A2DA7"/>
    <w:rsid w:val="009A5AC4"/>
    <w:rsid w:val="009B4D33"/>
    <w:rsid w:val="009B4D3B"/>
    <w:rsid w:val="009C0619"/>
    <w:rsid w:val="009C25ED"/>
    <w:rsid w:val="009C4265"/>
    <w:rsid w:val="009C44A6"/>
    <w:rsid w:val="009C6914"/>
    <w:rsid w:val="009C6945"/>
    <w:rsid w:val="009D00F0"/>
    <w:rsid w:val="009D520A"/>
    <w:rsid w:val="009D7407"/>
    <w:rsid w:val="009E0866"/>
    <w:rsid w:val="009E0FDF"/>
    <w:rsid w:val="009E4016"/>
    <w:rsid w:val="009E5E4E"/>
    <w:rsid w:val="009E65E2"/>
    <w:rsid w:val="009F1205"/>
    <w:rsid w:val="009F20F4"/>
    <w:rsid w:val="009F30A6"/>
    <w:rsid w:val="009F76E1"/>
    <w:rsid w:val="00A204E4"/>
    <w:rsid w:val="00A20E8E"/>
    <w:rsid w:val="00A2132B"/>
    <w:rsid w:val="00A22DDB"/>
    <w:rsid w:val="00A24A62"/>
    <w:rsid w:val="00A256BF"/>
    <w:rsid w:val="00A25AB1"/>
    <w:rsid w:val="00A275FD"/>
    <w:rsid w:val="00A31C9F"/>
    <w:rsid w:val="00A52976"/>
    <w:rsid w:val="00A535BC"/>
    <w:rsid w:val="00A57CE6"/>
    <w:rsid w:val="00A632E3"/>
    <w:rsid w:val="00A64D79"/>
    <w:rsid w:val="00A65FA6"/>
    <w:rsid w:val="00A668C8"/>
    <w:rsid w:val="00A71DC0"/>
    <w:rsid w:val="00A75BF8"/>
    <w:rsid w:val="00A7787A"/>
    <w:rsid w:val="00A81F04"/>
    <w:rsid w:val="00A86046"/>
    <w:rsid w:val="00A92A2E"/>
    <w:rsid w:val="00A9798A"/>
    <w:rsid w:val="00A97C9C"/>
    <w:rsid w:val="00AA18A8"/>
    <w:rsid w:val="00AA507E"/>
    <w:rsid w:val="00AA541C"/>
    <w:rsid w:val="00AB19CF"/>
    <w:rsid w:val="00AB25F3"/>
    <w:rsid w:val="00AB2F67"/>
    <w:rsid w:val="00AB6036"/>
    <w:rsid w:val="00AC164A"/>
    <w:rsid w:val="00AC374D"/>
    <w:rsid w:val="00AC573E"/>
    <w:rsid w:val="00AC6C5A"/>
    <w:rsid w:val="00AD167E"/>
    <w:rsid w:val="00AD16EC"/>
    <w:rsid w:val="00AD4695"/>
    <w:rsid w:val="00AF2050"/>
    <w:rsid w:val="00AF23B9"/>
    <w:rsid w:val="00B04378"/>
    <w:rsid w:val="00B04609"/>
    <w:rsid w:val="00B05EBE"/>
    <w:rsid w:val="00B1506B"/>
    <w:rsid w:val="00B1554C"/>
    <w:rsid w:val="00B26D20"/>
    <w:rsid w:val="00B35174"/>
    <w:rsid w:val="00B367E9"/>
    <w:rsid w:val="00B372C2"/>
    <w:rsid w:val="00B411AE"/>
    <w:rsid w:val="00B45065"/>
    <w:rsid w:val="00B450E0"/>
    <w:rsid w:val="00B51085"/>
    <w:rsid w:val="00B52E35"/>
    <w:rsid w:val="00B56F3B"/>
    <w:rsid w:val="00B6590C"/>
    <w:rsid w:val="00B728AD"/>
    <w:rsid w:val="00B737C5"/>
    <w:rsid w:val="00B74166"/>
    <w:rsid w:val="00B7482C"/>
    <w:rsid w:val="00B81574"/>
    <w:rsid w:val="00B87917"/>
    <w:rsid w:val="00B90A32"/>
    <w:rsid w:val="00B910C8"/>
    <w:rsid w:val="00B9264A"/>
    <w:rsid w:val="00BB26C5"/>
    <w:rsid w:val="00BB7BA0"/>
    <w:rsid w:val="00BC0C62"/>
    <w:rsid w:val="00BC1EA9"/>
    <w:rsid w:val="00BC69BF"/>
    <w:rsid w:val="00BD4B0F"/>
    <w:rsid w:val="00BE0F17"/>
    <w:rsid w:val="00BE151D"/>
    <w:rsid w:val="00BE288C"/>
    <w:rsid w:val="00BE5756"/>
    <w:rsid w:val="00BE6AB1"/>
    <w:rsid w:val="00BF18F9"/>
    <w:rsid w:val="00BF3977"/>
    <w:rsid w:val="00BF45D0"/>
    <w:rsid w:val="00BF4DE6"/>
    <w:rsid w:val="00BF5ECC"/>
    <w:rsid w:val="00BF7714"/>
    <w:rsid w:val="00C13514"/>
    <w:rsid w:val="00C13A7A"/>
    <w:rsid w:val="00C13F92"/>
    <w:rsid w:val="00C140A7"/>
    <w:rsid w:val="00C145A5"/>
    <w:rsid w:val="00C210FB"/>
    <w:rsid w:val="00C26150"/>
    <w:rsid w:val="00C32A6A"/>
    <w:rsid w:val="00C340A2"/>
    <w:rsid w:val="00C4086A"/>
    <w:rsid w:val="00C409C7"/>
    <w:rsid w:val="00C410FC"/>
    <w:rsid w:val="00C4181B"/>
    <w:rsid w:val="00C42CDE"/>
    <w:rsid w:val="00C63606"/>
    <w:rsid w:val="00C648E9"/>
    <w:rsid w:val="00C727CE"/>
    <w:rsid w:val="00C72B66"/>
    <w:rsid w:val="00C805DE"/>
    <w:rsid w:val="00C81C89"/>
    <w:rsid w:val="00C836BC"/>
    <w:rsid w:val="00C85512"/>
    <w:rsid w:val="00C901CA"/>
    <w:rsid w:val="00C904E0"/>
    <w:rsid w:val="00C966CD"/>
    <w:rsid w:val="00CA37B1"/>
    <w:rsid w:val="00CA4C3E"/>
    <w:rsid w:val="00CA51D7"/>
    <w:rsid w:val="00CB1959"/>
    <w:rsid w:val="00CB2534"/>
    <w:rsid w:val="00CC1EA2"/>
    <w:rsid w:val="00CC2AA4"/>
    <w:rsid w:val="00CC5F4A"/>
    <w:rsid w:val="00CD0B48"/>
    <w:rsid w:val="00CD348A"/>
    <w:rsid w:val="00CD4612"/>
    <w:rsid w:val="00CD6E0F"/>
    <w:rsid w:val="00CE251D"/>
    <w:rsid w:val="00CE4B0F"/>
    <w:rsid w:val="00CE5B04"/>
    <w:rsid w:val="00CF0CF0"/>
    <w:rsid w:val="00CF313C"/>
    <w:rsid w:val="00CF6954"/>
    <w:rsid w:val="00D0296C"/>
    <w:rsid w:val="00D0620E"/>
    <w:rsid w:val="00D07FA7"/>
    <w:rsid w:val="00D14978"/>
    <w:rsid w:val="00D149A4"/>
    <w:rsid w:val="00D15915"/>
    <w:rsid w:val="00D17010"/>
    <w:rsid w:val="00D22869"/>
    <w:rsid w:val="00D268E6"/>
    <w:rsid w:val="00D2787E"/>
    <w:rsid w:val="00D300B8"/>
    <w:rsid w:val="00D30471"/>
    <w:rsid w:val="00D3090F"/>
    <w:rsid w:val="00D3263F"/>
    <w:rsid w:val="00D3569B"/>
    <w:rsid w:val="00D428FF"/>
    <w:rsid w:val="00D46D82"/>
    <w:rsid w:val="00D522AC"/>
    <w:rsid w:val="00D56AA0"/>
    <w:rsid w:val="00D60D48"/>
    <w:rsid w:val="00D6153B"/>
    <w:rsid w:val="00D63577"/>
    <w:rsid w:val="00D65443"/>
    <w:rsid w:val="00D7105D"/>
    <w:rsid w:val="00D71B56"/>
    <w:rsid w:val="00D90A8C"/>
    <w:rsid w:val="00D90E28"/>
    <w:rsid w:val="00D94634"/>
    <w:rsid w:val="00DB0937"/>
    <w:rsid w:val="00DB3E8E"/>
    <w:rsid w:val="00DB6D69"/>
    <w:rsid w:val="00DC0AA6"/>
    <w:rsid w:val="00DC1682"/>
    <w:rsid w:val="00DC322C"/>
    <w:rsid w:val="00DC430B"/>
    <w:rsid w:val="00DC4AE4"/>
    <w:rsid w:val="00DC6EF5"/>
    <w:rsid w:val="00DD52C8"/>
    <w:rsid w:val="00DD5DB7"/>
    <w:rsid w:val="00DD732E"/>
    <w:rsid w:val="00DD77FE"/>
    <w:rsid w:val="00DE0FBB"/>
    <w:rsid w:val="00DE2DE0"/>
    <w:rsid w:val="00DE3434"/>
    <w:rsid w:val="00DE3E17"/>
    <w:rsid w:val="00DE3E90"/>
    <w:rsid w:val="00DE66B7"/>
    <w:rsid w:val="00DE7FA9"/>
    <w:rsid w:val="00DF25F7"/>
    <w:rsid w:val="00DF2EA3"/>
    <w:rsid w:val="00DF66E3"/>
    <w:rsid w:val="00E07F61"/>
    <w:rsid w:val="00E10035"/>
    <w:rsid w:val="00E15A75"/>
    <w:rsid w:val="00E16C85"/>
    <w:rsid w:val="00E17418"/>
    <w:rsid w:val="00E17504"/>
    <w:rsid w:val="00E255D2"/>
    <w:rsid w:val="00E32F35"/>
    <w:rsid w:val="00E357B7"/>
    <w:rsid w:val="00E40E09"/>
    <w:rsid w:val="00E43409"/>
    <w:rsid w:val="00E44E21"/>
    <w:rsid w:val="00E45FD0"/>
    <w:rsid w:val="00E472B4"/>
    <w:rsid w:val="00E508F1"/>
    <w:rsid w:val="00E53800"/>
    <w:rsid w:val="00E6081F"/>
    <w:rsid w:val="00E63BCF"/>
    <w:rsid w:val="00E71B07"/>
    <w:rsid w:val="00E739AB"/>
    <w:rsid w:val="00E76149"/>
    <w:rsid w:val="00E76C40"/>
    <w:rsid w:val="00E7733D"/>
    <w:rsid w:val="00E8010D"/>
    <w:rsid w:val="00E903C2"/>
    <w:rsid w:val="00E96706"/>
    <w:rsid w:val="00EA04B2"/>
    <w:rsid w:val="00EA20F3"/>
    <w:rsid w:val="00EA3B0E"/>
    <w:rsid w:val="00EA4635"/>
    <w:rsid w:val="00EA75C1"/>
    <w:rsid w:val="00EB3B39"/>
    <w:rsid w:val="00EB3BAB"/>
    <w:rsid w:val="00EB552B"/>
    <w:rsid w:val="00EB6B5D"/>
    <w:rsid w:val="00ED21DF"/>
    <w:rsid w:val="00ED25A4"/>
    <w:rsid w:val="00ED43D1"/>
    <w:rsid w:val="00EE2B1C"/>
    <w:rsid w:val="00EE3858"/>
    <w:rsid w:val="00EE4EE1"/>
    <w:rsid w:val="00EE57ED"/>
    <w:rsid w:val="00EE69A0"/>
    <w:rsid w:val="00EF1908"/>
    <w:rsid w:val="00EF4574"/>
    <w:rsid w:val="00EF478F"/>
    <w:rsid w:val="00EF6C6F"/>
    <w:rsid w:val="00EF7B34"/>
    <w:rsid w:val="00F04C89"/>
    <w:rsid w:val="00F07425"/>
    <w:rsid w:val="00F11B6E"/>
    <w:rsid w:val="00F12854"/>
    <w:rsid w:val="00F142EB"/>
    <w:rsid w:val="00F16A18"/>
    <w:rsid w:val="00F20F3B"/>
    <w:rsid w:val="00F2428B"/>
    <w:rsid w:val="00F2684E"/>
    <w:rsid w:val="00F34F90"/>
    <w:rsid w:val="00F43EFC"/>
    <w:rsid w:val="00F44EF4"/>
    <w:rsid w:val="00F47DEE"/>
    <w:rsid w:val="00F61589"/>
    <w:rsid w:val="00F62F45"/>
    <w:rsid w:val="00F729EF"/>
    <w:rsid w:val="00F77CAE"/>
    <w:rsid w:val="00F818AF"/>
    <w:rsid w:val="00F8526F"/>
    <w:rsid w:val="00F85D19"/>
    <w:rsid w:val="00F86545"/>
    <w:rsid w:val="00F96BB9"/>
    <w:rsid w:val="00FA03ED"/>
    <w:rsid w:val="00FB30E0"/>
    <w:rsid w:val="00FB44AA"/>
    <w:rsid w:val="00FC2B45"/>
    <w:rsid w:val="00FC3146"/>
    <w:rsid w:val="00FD2828"/>
    <w:rsid w:val="00FD29BC"/>
    <w:rsid w:val="00FD6DA1"/>
    <w:rsid w:val="00FE312E"/>
    <w:rsid w:val="00FE60E6"/>
    <w:rsid w:val="00FE6D51"/>
    <w:rsid w:val="00FF50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Ind w:w="0" w:type="dxa"/>
      <w:tblBorders>
        <w:top w:val="single" w:sz="4" w:space="0" w:color="1C1C1C" w:themeColor="text2"/>
        <w:bottom w:val="single" w:sz="4" w:space="0" w:color="1C1C1C" w:themeColor="text2"/>
        <w:insideH w:val="single" w:sz="4" w:space="0" w:color="1C1C1C" w:themeColor="text2"/>
      </w:tblBorders>
      <w:tblCellMar>
        <w:top w:w="0" w:type="dxa"/>
        <w:left w:w="85" w:type="dxa"/>
        <w:bottom w:w="0"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semiHidden/>
    <w:rsid w:val="00340616"/>
    <w:rPr>
      <w:b/>
      <w:bCs/>
    </w:rPr>
  </w:style>
  <w:style w:type="character" w:customStyle="1" w:styleId="CommentSubjectChar">
    <w:name w:val="Comment Subject Char"/>
    <w:basedOn w:val="CommentTextChar"/>
    <w:link w:val="CommentSubject"/>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customStyle="1" w:styleId="HeadingB">
    <w:name w:val="Heading B"/>
    <w:basedOn w:val="Normal"/>
    <w:link w:val="HeadingBChar"/>
    <w:rsid w:val="009D520A"/>
    <w:pPr>
      <w:keepNext/>
      <w:numPr>
        <w:ilvl w:val="1"/>
        <w:numId w:val="27"/>
      </w:numPr>
      <w:suppressAutoHyphens w:val="0"/>
      <w:spacing w:before="0" w:after="120" w:line="240" w:lineRule="auto"/>
    </w:pPr>
    <w:rPr>
      <w:rFonts w:ascii="Arial" w:eastAsia="Times New Roman" w:hAnsi="Arial" w:cs="Arial"/>
      <w:b/>
      <w:sz w:val="28"/>
      <w:szCs w:val="28"/>
    </w:rPr>
  </w:style>
  <w:style w:type="paragraph" w:customStyle="1" w:styleId="HeadingC">
    <w:name w:val="Heading C"/>
    <w:basedOn w:val="Normal"/>
    <w:rsid w:val="009D520A"/>
    <w:pPr>
      <w:keepNext/>
      <w:numPr>
        <w:ilvl w:val="2"/>
        <w:numId w:val="27"/>
      </w:numPr>
      <w:suppressAutoHyphens w:val="0"/>
      <w:spacing w:before="0" w:after="120" w:line="240" w:lineRule="auto"/>
    </w:pPr>
    <w:rPr>
      <w:rFonts w:ascii="Arial" w:eastAsia="Times New Roman" w:hAnsi="Arial" w:cs="Arial"/>
      <w:b/>
      <w:sz w:val="28"/>
      <w:szCs w:val="28"/>
    </w:rPr>
  </w:style>
  <w:style w:type="character" w:customStyle="1" w:styleId="HeadingBChar">
    <w:name w:val="Heading B Char"/>
    <w:basedOn w:val="DefaultParagraphFont"/>
    <w:link w:val="HeadingB"/>
    <w:rsid w:val="009D520A"/>
    <w:rPr>
      <w:rFonts w:ascii="Arial" w:eastAsia="Times New Roman" w:hAnsi="Arial" w:cs="Arial"/>
      <w:b/>
      <w:sz w:val="28"/>
      <w:szCs w:val="28"/>
    </w:rPr>
  </w:style>
</w:styles>
</file>

<file path=word/webSettings.xml><?xml version="1.0" encoding="utf-8"?>
<w:webSettings xmlns:r="http://schemas.openxmlformats.org/officeDocument/2006/relationships" xmlns:w="http://schemas.openxmlformats.org/wordprocessingml/2006/main">
  <w:divs>
    <w:div w:id="71658240">
      <w:bodyDiv w:val="1"/>
      <w:marLeft w:val="0"/>
      <w:marRight w:val="0"/>
      <w:marTop w:val="0"/>
      <w:marBottom w:val="0"/>
      <w:divBdr>
        <w:top w:val="none" w:sz="0" w:space="0" w:color="auto"/>
        <w:left w:val="none" w:sz="0" w:space="0" w:color="auto"/>
        <w:bottom w:val="none" w:sz="0" w:space="0" w:color="auto"/>
        <w:right w:val="none" w:sz="0" w:space="0" w:color="auto"/>
      </w:divBdr>
    </w:div>
    <w:div w:id="86923964">
      <w:bodyDiv w:val="1"/>
      <w:marLeft w:val="0"/>
      <w:marRight w:val="0"/>
      <w:marTop w:val="0"/>
      <w:marBottom w:val="0"/>
      <w:divBdr>
        <w:top w:val="none" w:sz="0" w:space="0" w:color="auto"/>
        <w:left w:val="none" w:sz="0" w:space="0" w:color="auto"/>
        <w:bottom w:val="none" w:sz="0" w:space="0" w:color="auto"/>
        <w:right w:val="none" w:sz="0" w:space="0" w:color="auto"/>
      </w:divBdr>
    </w:div>
    <w:div w:id="200635289">
      <w:bodyDiv w:val="1"/>
      <w:marLeft w:val="0"/>
      <w:marRight w:val="0"/>
      <w:marTop w:val="0"/>
      <w:marBottom w:val="0"/>
      <w:divBdr>
        <w:top w:val="none" w:sz="0" w:space="0" w:color="auto"/>
        <w:left w:val="none" w:sz="0" w:space="0" w:color="auto"/>
        <w:bottom w:val="none" w:sz="0" w:space="0" w:color="auto"/>
        <w:right w:val="none" w:sz="0" w:space="0" w:color="auto"/>
      </w:divBdr>
    </w:div>
    <w:div w:id="220602643">
      <w:bodyDiv w:val="1"/>
      <w:marLeft w:val="0"/>
      <w:marRight w:val="0"/>
      <w:marTop w:val="0"/>
      <w:marBottom w:val="0"/>
      <w:divBdr>
        <w:top w:val="none" w:sz="0" w:space="0" w:color="auto"/>
        <w:left w:val="none" w:sz="0" w:space="0" w:color="auto"/>
        <w:bottom w:val="none" w:sz="0" w:space="0" w:color="auto"/>
        <w:right w:val="none" w:sz="0" w:space="0" w:color="auto"/>
      </w:divBdr>
    </w:div>
    <w:div w:id="729690224">
      <w:bodyDiv w:val="1"/>
      <w:marLeft w:val="0"/>
      <w:marRight w:val="0"/>
      <w:marTop w:val="0"/>
      <w:marBottom w:val="0"/>
      <w:divBdr>
        <w:top w:val="none" w:sz="0" w:space="0" w:color="auto"/>
        <w:left w:val="none" w:sz="0" w:space="0" w:color="auto"/>
        <w:bottom w:val="none" w:sz="0" w:space="0" w:color="auto"/>
        <w:right w:val="none" w:sz="0" w:space="0" w:color="auto"/>
      </w:divBdr>
    </w:div>
    <w:div w:id="921376225">
      <w:bodyDiv w:val="1"/>
      <w:marLeft w:val="0"/>
      <w:marRight w:val="0"/>
      <w:marTop w:val="0"/>
      <w:marBottom w:val="0"/>
      <w:divBdr>
        <w:top w:val="none" w:sz="0" w:space="0" w:color="auto"/>
        <w:left w:val="none" w:sz="0" w:space="0" w:color="auto"/>
        <w:bottom w:val="none" w:sz="0" w:space="0" w:color="auto"/>
        <w:right w:val="none" w:sz="0" w:space="0" w:color="auto"/>
      </w:divBdr>
    </w:div>
    <w:div w:id="1001356157">
      <w:bodyDiv w:val="1"/>
      <w:marLeft w:val="0"/>
      <w:marRight w:val="0"/>
      <w:marTop w:val="0"/>
      <w:marBottom w:val="0"/>
      <w:divBdr>
        <w:top w:val="none" w:sz="0" w:space="0" w:color="auto"/>
        <w:left w:val="none" w:sz="0" w:space="0" w:color="auto"/>
        <w:bottom w:val="none" w:sz="0" w:space="0" w:color="auto"/>
        <w:right w:val="none" w:sz="0" w:space="0" w:color="auto"/>
      </w:divBdr>
    </w:div>
    <w:div w:id="1252203633">
      <w:bodyDiv w:val="1"/>
      <w:marLeft w:val="0"/>
      <w:marRight w:val="0"/>
      <w:marTop w:val="0"/>
      <w:marBottom w:val="0"/>
      <w:divBdr>
        <w:top w:val="none" w:sz="0" w:space="0" w:color="auto"/>
        <w:left w:val="none" w:sz="0" w:space="0" w:color="auto"/>
        <w:bottom w:val="none" w:sz="0" w:space="0" w:color="auto"/>
        <w:right w:val="none" w:sz="0" w:space="0" w:color="auto"/>
      </w:divBdr>
    </w:div>
    <w:div w:id="1487209596">
      <w:bodyDiv w:val="1"/>
      <w:marLeft w:val="0"/>
      <w:marRight w:val="0"/>
      <w:marTop w:val="0"/>
      <w:marBottom w:val="0"/>
      <w:divBdr>
        <w:top w:val="none" w:sz="0" w:space="0" w:color="auto"/>
        <w:left w:val="none" w:sz="0" w:space="0" w:color="auto"/>
        <w:bottom w:val="none" w:sz="0" w:space="0" w:color="auto"/>
        <w:right w:val="none" w:sz="0" w:space="0" w:color="auto"/>
      </w:divBdr>
    </w:div>
    <w:div w:id="1811748887">
      <w:bodyDiv w:val="1"/>
      <w:marLeft w:val="0"/>
      <w:marRight w:val="0"/>
      <w:marTop w:val="0"/>
      <w:marBottom w:val="0"/>
      <w:divBdr>
        <w:top w:val="none" w:sz="0" w:space="0" w:color="auto"/>
        <w:left w:val="none" w:sz="0" w:space="0" w:color="auto"/>
        <w:bottom w:val="none" w:sz="0" w:space="0" w:color="auto"/>
        <w:right w:val="none" w:sz="0" w:space="0" w:color="auto"/>
      </w:divBdr>
    </w:div>
    <w:div w:id="1820803576">
      <w:bodyDiv w:val="1"/>
      <w:marLeft w:val="0"/>
      <w:marRight w:val="0"/>
      <w:marTop w:val="0"/>
      <w:marBottom w:val="0"/>
      <w:divBdr>
        <w:top w:val="none" w:sz="0" w:space="0" w:color="auto"/>
        <w:left w:val="none" w:sz="0" w:space="0" w:color="auto"/>
        <w:bottom w:val="none" w:sz="0" w:space="0" w:color="auto"/>
        <w:right w:val="none" w:sz="0" w:space="0" w:color="auto"/>
      </w:divBdr>
    </w:div>
    <w:div w:id="2086803544">
      <w:bodyDiv w:val="1"/>
      <w:marLeft w:val="0"/>
      <w:marRight w:val="0"/>
      <w:marTop w:val="0"/>
      <w:marBottom w:val="0"/>
      <w:divBdr>
        <w:top w:val="none" w:sz="0" w:space="0" w:color="auto"/>
        <w:left w:val="none" w:sz="0" w:space="0" w:color="auto"/>
        <w:bottom w:val="none" w:sz="0" w:space="0" w:color="auto"/>
        <w:right w:val="none" w:sz="0" w:space="0" w:color="auto"/>
      </w:divBdr>
    </w:div>
    <w:div w:id="20908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finance.gov.au/resource-management/grants/" TargetMode="External"/><Relationship Id="rId26" Type="http://schemas.openxmlformats.org/officeDocument/2006/relationships/hyperlink" Target="mailto:support@communitygrants.gov.au" TargetMode="External"/><Relationship Id="rId39" Type="http://schemas.openxmlformats.org/officeDocument/2006/relationships/hyperlink" Target="mailto:ombudsman@ombudsman.gov.au" TargetMode="External"/><Relationship Id="rId3" Type="http://schemas.openxmlformats.org/officeDocument/2006/relationships/customXml" Target="../customXml/item3.xml"/><Relationship Id="rId21" Type="http://schemas.openxmlformats.org/officeDocument/2006/relationships/hyperlink" Target="https://www.communitygrants.gov.au/grants" TargetMode="External"/><Relationship Id="rId34" Type="http://schemas.openxmlformats.org/officeDocument/2006/relationships/hyperlink" Target="https://www.grants.gov.au/" TargetMode="External"/><Relationship Id="rId42" Type="http://schemas.openxmlformats.org/officeDocument/2006/relationships/hyperlink" Target="https://www.communitygrants.gov.au/open-grants/how-apply/conflict-interest-policy-commonwealth-government-employee" TargetMode="External"/><Relationship Id="rId47"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https://www.finance.gov.au/resource-management/grants/" TargetMode="External"/><Relationship Id="rId17" Type="http://schemas.openxmlformats.org/officeDocument/2006/relationships/hyperlink" Target="https://www.grants.gov.au/" TargetMode="External"/><Relationship Id="rId25" Type="http://schemas.openxmlformats.org/officeDocument/2006/relationships/hyperlink" Target="https://www.communitygrants.gov.au/grants" TargetMode="External"/><Relationship Id="rId33" Type="http://schemas.openxmlformats.org/officeDocument/2006/relationships/hyperlink" Target="https://www.finance.gov.au/resource-management/grants/"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hyperlink" Target="https://www.grants.gov.au/" TargetMode="External"/><Relationship Id="rId29" Type="http://schemas.openxmlformats.org/officeDocument/2006/relationships/hyperlink" Target="https://www.finance.gov.au/resource-management/grants/" TargetMode="External"/><Relationship Id="rId41"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https://www.grants.gov.au/" TargetMode="External"/><Relationship Id="rId32" Type="http://schemas.openxmlformats.org/officeDocument/2006/relationships/hyperlink" Target="https://dex.dss.gov.au/policy-guidance/dex_data_exchange_protocols/" TargetMode="External"/><Relationship Id="rId37" Type="http://schemas.openxmlformats.org/officeDocument/2006/relationships/hyperlink" Target="mailto:DVA.Grants.Processing.Team@dva.gov.au" TargetMode="External"/><Relationship Id="rId40" Type="http://schemas.openxmlformats.org/officeDocument/2006/relationships/hyperlink" Target="http://www.ombudsman.gov.au/"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hyperlink" Target="mailto:support@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dva.gov.au/contact/feedbac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pport@communitygrants.gov.au" TargetMode="External"/><Relationship Id="rId31" Type="http://schemas.openxmlformats.org/officeDocument/2006/relationships/hyperlink" Target="http://www.ato.gov.au/" TargetMode="External"/><Relationship Id="rId44"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 Id="rId22" Type="http://schemas.openxmlformats.org/officeDocument/2006/relationships/hyperlink" Target="mailto:support@communitygrants.gov.au" TargetMode="External"/><Relationship Id="rId27" Type="http://schemas.openxmlformats.org/officeDocument/2006/relationships/hyperlink" Target="https://www.grants.gov.au/"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www.communitygrants.gov.au" TargetMode="External"/><Relationship Id="rId43" Type="http://schemas.openxmlformats.org/officeDocument/2006/relationships/hyperlink" Target="http://www.comlaw.gov.au/Details/C2014C00757"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4D2D-30B3-49DF-A9F1-D84D1829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656425-FB52-4E73-AFFF-AE84924315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E3D0F0-E19D-4344-B256-2FDF999E5219}">
  <ds:schemaRefs>
    <ds:schemaRef ds:uri="http://schemas.microsoft.com/sharepoint/v3/contenttype/forms"/>
  </ds:schemaRefs>
</ds:datastoreItem>
</file>

<file path=customXml/itemProps4.xml><?xml version="1.0" encoding="utf-8"?>
<ds:datastoreItem xmlns:ds="http://schemas.openxmlformats.org/officeDocument/2006/customXml" ds:itemID="{BC249199-7667-43FB-86AE-5304FDB3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7237</Words>
  <Characters>41254</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Denis</cp:lastModifiedBy>
  <cp:revision>2</cp:revision>
  <cp:lastPrinted>2018-05-01T01:48:00Z</cp:lastPrinted>
  <dcterms:created xsi:type="dcterms:W3CDTF">2019-01-04T05:31:00Z</dcterms:created>
  <dcterms:modified xsi:type="dcterms:W3CDTF">2019-01-04T05:31:00Z</dcterms:modified>
</cp:coreProperties>
</file>